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33" w:type="dxa"/>
        <w:tblInd w:w="-4" w:type="dxa"/>
        <w:tblLayout w:type="fixed"/>
        <w:tblLook w:val="01E0" w:firstRow="1" w:lastRow="1" w:firstColumn="1" w:lastColumn="1" w:noHBand="0" w:noVBand="0"/>
      </w:tblPr>
      <w:tblGrid>
        <w:gridCol w:w="1149"/>
        <w:gridCol w:w="379"/>
        <w:gridCol w:w="669"/>
        <w:gridCol w:w="445"/>
        <w:gridCol w:w="1786"/>
        <w:gridCol w:w="14"/>
        <w:gridCol w:w="302"/>
        <w:gridCol w:w="6"/>
        <w:gridCol w:w="4983"/>
      </w:tblGrid>
      <w:tr w:rsidR="000A6047" w:rsidRPr="00701A8A" w14:paraId="02EFF157" w14:textId="77777777" w:rsidTr="00DC2230">
        <w:trPr>
          <w:trHeight w:val="1412"/>
        </w:trPr>
        <w:tc>
          <w:tcPr>
            <w:tcW w:w="4428" w:type="dxa"/>
            <w:gridSpan w:val="5"/>
            <w:vMerge w:val="restart"/>
          </w:tcPr>
          <w:p w14:paraId="280B4B61" w14:textId="77777777" w:rsidR="000A6047" w:rsidRDefault="000A6047" w:rsidP="000A6047">
            <w:pPr>
              <w:pStyle w:val="6"/>
              <w:tabs>
                <w:tab w:val="clear" w:pos="4253"/>
                <w:tab w:val="left" w:pos="9214"/>
              </w:tabs>
              <w:ind w:right="0"/>
              <w:rPr>
                <w:rFonts w:cs="Arial"/>
                <w:b w:val="0"/>
              </w:rPr>
            </w:pPr>
            <w:bookmarkStart w:id="0" w:name="_Hlk41573118"/>
            <w:r>
              <w:rPr>
                <w:rFonts w:cs="Arial"/>
                <w:b w:val="0"/>
                <w:noProof/>
              </w:rPr>
              <w:drawing>
                <wp:inline distT="0" distB="0" distL="0" distR="0" wp14:anchorId="1D7C9B20" wp14:editId="5057CB41">
                  <wp:extent cx="600075" cy="714375"/>
                  <wp:effectExtent l="0" t="0" r="9525" b="9525"/>
                  <wp:docPr id="1" name="Рисунок 1" descr="Герб_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2004"/>
                          <pic:cNvPicPr>
                            <a:picLocks noChangeAspect="1" noChangeArrowheads="1"/>
                          </pic:cNvPicPr>
                        </pic:nvPicPr>
                        <pic:blipFill>
                          <a:blip r:embed="rId8" cstate="print">
                            <a:clrChange>
                              <a:clrFrom>
                                <a:srgbClr val="FFFFFF"/>
                              </a:clrFrom>
                              <a:clrTo>
                                <a:srgbClr val="FFFFFF">
                                  <a:alpha val="0"/>
                                </a:srgbClr>
                              </a:clrTo>
                            </a:clrChange>
                            <a:lum bright="-12000" contrast="24000"/>
                            <a:grayscl/>
                            <a:extLst>
                              <a:ext uri="{28A0092B-C50C-407E-A947-70E740481C1C}">
                                <a14:useLocalDpi xmlns:a14="http://schemas.microsoft.com/office/drawing/2010/main" val="0"/>
                              </a:ext>
                            </a:extLst>
                          </a:blip>
                          <a:srcRect/>
                          <a:stretch>
                            <a:fillRect/>
                          </a:stretch>
                        </pic:blipFill>
                        <pic:spPr bwMode="auto">
                          <a:xfrm>
                            <a:off x="0" y="0"/>
                            <a:ext cx="600075" cy="714375"/>
                          </a:xfrm>
                          <a:prstGeom prst="rect">
                            <a:avLst/>
                          </a:prstGeom>
                          <a:noFill/>
                          <a:ln>
                            <a:noFill/>
                          </a:ln>
                        </pic:spPr>
                      </pic:pic>
                    </a:graphicData>
                  </a:graphic>
                </wp:inline>
              </w:drawing>
            </w:r>
          </w:p>
          <w:p w14:paraId="54579CFB" w14:textId="77777777" w:rsidR="000A6047" w:rsidRPr="00615A64" w:rsidRDefault="000A6047" w:rsidP="000A6047">
            <w:pPr>
              <w:jc w:val="center"/>
              <w:rPr>
                <w:rFonts w:ascii="Arial" w:hAnsi="Arial" w:cs="Arial"/>
                <w:sz w:val="16"/>
                <w:szCs w:val="16"/>
              </w:rPr>
            </w:pPr>
          </w:p>
          <w:p w14:paraId="402E33BB" w14:textId="53C97ECA" w:rsidR="000A6047" w:rsidRPr="0014086B" w:rsidRDefault="00FE7CD1" w:rsidP="000A6047">
            <w:pPr>
              <w:pStyle w:val="5"/>
              <w:tabs>
                <w:tab w:val="clear" w:pos="4253"/>
                <w:tab w:val="left" w:pos="4395"/>
              </w:tabs>
              <w:spacing w:line="330" w:lineRule="exact"/>
              <w:ind w:right="0"/>
              <w:rPr>
                <w:rFonts w:cs="Arial"/>
                <w:caps/>
                <w:sz w:val="32"/>
              </w:rPr>
            </w:pPr>
            <w:r>
              <w:rPr>
                <w:rFonts w:cs="Arial"/>
                <w:caps/>
                <w:sz w:val="32"/>
              </w:rPr>
              <w:t>ДУМА</w:t>
            </w:r>
          </w:p>
          <w:p w14:paraId="47837203" w14:textId="7DEBD92E" w:rsidR="000A6047" w:rsidRPr="0014086B" w:rsidRDefault="000A6047" w:rsidP="000A6047">
            <w:pPr>
              <w:pStyle w:val="5"/>
              <w:tabs>
                <w:tab w:val="clear" w:pos="4253"/>
                <w:tab w:val="left" w:pos="4395"/>
              </w:tabs>
              <w:spacing w:line="330" w:lineRule="exact"/>
              <w:ind w:right="0"/>
              <w:rPr>
                <w:rFonts w:cs="Arial"/>
                <w:caps/>
                <w:sz w:val="32"/>
              </w:rPr>
            </w:pPr>
            <w:r w:rsidRPr="0014086B">
              <w:rPr>
                <w:rFonts w:cs="Arial"/>
                <w:caps/>
                <w:sz w:val="32"/>
              </w:rPr>
              <w:t>нефтеюганского района</w:t>
            </w:r>
          </w:p>
          <w:p w14:paraId="18B9B835" w14:textId="77777777" w:rsidR="000A6047" w:rsidRPr="00C6123D" w:rsidRDefault="000A6047" w:rsidP="000A6047">
            <w:pPr>
              <w:tabs>
                <w:tab w:val="left" w:pos="4395"/>
              </w:tabs>
              <w:jc w:val="center"/>
              <w:rPr>
                <w:rFonts w:ascii="Arial" w:hAnsi="Arial" w:cs="Arial"/>
                <w:sz w:val="16"/>
              </w:rPr>
            </w:pPr>
          </w:p>
          <w:p w14:paraId="3277F0A4" w14:textId="77777777" w:rsidR="008C03A1" w:rsidRPr="00C6123D" w:rsidRDefault="008C03A1" w:rsidP="008C03A1">
            <w:pPr>
              <w:tabs>
                <w:tab w:val="left" w:pos="4395"/>
              </w:tabs>
              <w:jc w:val="center"/>
              <w:rPr>
                <w:rFonts w:ascii="Arial" w:hAnsi="Arial" w:cs="Arial"/>
                <w:sz w:val="16"/>
              </w:rPr>
            </w:pPr>
            <w:r w:rsidRPr="00C6123D">
              <w:rPr>
                <w:rFonts w:ascii="Arial" w:hAnsi="Arial" w:cs="Arial"/>
                <w:sz w:val="16"/>
              </w:rPr>
              <w:t>3 мкр., 21 д., г.Нефтеюганск,</w:t>
            </w:r>
          </w:p>
          <w:p w14:paraId="3E5782D1" w14:textId="6801A5A7" w:rsidR="008C03A1" w:rsidRPr="00C6123D" w:rsidRDefault="008C03A1" w:rsidP="008C03A1">
            <w:pPr>
              <w:tabs>
                <w:tab w:val="left" w:pos="4395"/>
              </w:tabs>
              <w:jc w:val="center"/>
              <w:rPr>
                <w:rFonts w:ascii="Arial" w:hAnsi="Arial" w:cs="Arial"/>
                <w:sz w:val="16"/>
              </w:rPr>
            </w:pPr>
            <w:r w:rsidRPr="00C6123D">
              <w:rPr>
                <w:rFonts w:ascii="Arial" w:hAnsi="Arial" w:cs="Arial"/>
                <w:sz w:val="16"/>
              </w:rPr>
              <w:t xml:space="preserve">Ханты-Мансийский автономный округ </w:t>
            </w:r>
            <w:r w:rsidR="00C76D6F">
              <w:rPr>
                <w:rFonts w:ascii="Arial" w:hAnsi="Arial" w:cs="Arial"/>
                <w:sz w:val="16"/>
              </w:rPr>
              <w:t>–</w:t>
            </w:r>
            <w:r w:rsidRPr="00C6123D">
              <w:rPr>
                <w:rFonts w:ascii="Arial" w:hAnsi="Arial" w:cs="Arial"/>
                <w:sz w:val="16"/>
              </w:rPr>
              <w:t xml:space="preserve"> Югра,</w:t>
            </w:r>
          </w:p>
          <w:p w14:paraId="3E427174" w14:textId="77777777" w:rsidR="008C03A1" w:rsidRPr="00C6123D" w:rsidRDefault="008C03A1" w:rsidP="008C03A1">
            <w:pPr>
              <w:tabs>
                <w:tab w:val="left" w:pos="4395"/>
              </w:tabs>
              <w:jc w:val="center"/>
              <w:rPr>
                <w:rFonts w:ascii="Arial" w:hAnsi="Arial" w:cs="Arial"/>
                <w:sz w:val="16"/>
              </w:rPr>
            </w:pPr>
            <w:r w:rsidRPr="00C6123D">
              <w:rPr>
                <w:rFonts w:ascii="Arial" w:hAnsi="Arial" w:cs="Arial"/>
                <w:sz w:val="16"/>
              </w:rPr>
              <w:t>Тюменская область, 628309</w:t>
            </w:r>
          </w:p>
          <w:p w14:paraId="16074DB4" w14:textId="0BC86834" w:rsidR="008C03A1" w:rsidRPr="00E21942" w:rsidRDefault="008C03A1" w:rsidP="008C03A1">
            <w:pPr>
              <w:tabs>
                <w:tab w:val="left" w:pos="4395"/>
              </w:tabs>
              <w:jc w:val="center"/>
              <w:rPr>
                <w:rFonts w:ascii="Arial" w:hAnsi="Arial" w:cs="Arial"/>
                <w:sz w:val="16"/>
              </w:rPr>
            </w:pPr>
            <w:r w:rsidRPr="00C6123D">
              <w:rPr>
                <w:rFonts w:ascii="Arial" w:hAnsi="Arial" w:cs="Arial"/>
                <w:sz w:val="16"/>
              </w:rPr>
              <w:t xml:space="preserve">Телефон: </w:t>
            </w:r>
            <w:r w:rsidRPr="00E21942">
              <w:rPr>
                <w:rFonts w:ascii="Arial" w:hAnsi="Arial" w:cs="Arial"/>
                <w:sz w:val="16"/>
              </w:rPr>
              <w:t>(3463)</w:t>
            </w:r>
            <w:r>
              <w:rPr>
                <w:rFonts w:ascii="Arial" w:hAnsi="Arial" w:cs="Arial"/>
                <w:sz w:val="16"/>
              </w:rPr>
              <w:t xml:space="preserve"> </w:t>
            </w:r>
            <w:r w:rsidRPr="00E21942">
              <w:rPr>
                <w:rFonts w:ascii="Arial" w:hAnsi="Arial" w:cs="Arial"/>
                <w:sz w:val="16"/>
              </w:rPr>
              <w:t>25-01-</w:t>
            </w:r>
            <w:r w:rsidR="00FE7CD1">
              <w:rPr>
                <w:rFonts w:ascii="Arial" w:hAnsi="Arial" w:cs="Arial"/>
                <w:sz w:val="16"/>
              </w:rPr>
              <w:t>43</w:t>
            </w:r>
            <w:r w:rsidRPr="00E21942">
              <w:rPr>
                <w:rFonts w:ascii="Arial" w:hAnsi="Arial" w:cs="Arial"/>
                <w:sz w:val="16"/>
              </w:rPr>
              <w:t xml:space="preserve">; факс: </w:t>
            </w:r>
            <w:r w:rsidR="00FE7CD1">
              <w:rPr>
                <w:rFonts w:ascii="Arial" w:hAnsi="Arial" w:cs="Arial"/>
                <w:sz w:val="16"/>
              </w:rPr>
              <w:t>22-89-15</w:t>
            </w:r>
          </w:p>
          <w:p w14:paraId="0F85105E" w14:textId="05AC87DA" w:rsidR="006F404A" w:rsidRDefault="008C03A1" w:rsidP="00701A8A">
            <w:pPr>
              <w:tabs>
                <w:tab w:val="left" w:pos="4395"/>
              </w:tabs>
              <w:jc w:val="center"/>
              <w:rPr>
                <w:rFonts w:ascii="Arial" w:hAnsi="Arial" w:cs="Arial"/>
                <w:sz w:val="16"/>
              </w:rPr>
            </w:pPr>
            <w:r w:rsidRPr="00701A8A">
              <w:rPr>
                <w:rFonts w:ascii="Arial" w:hAnsi="Arial" w:cs="Arial"/>
                <w:sz w:val="16"/>
                <w:lang w:val="en-US"/>
              </w:rPr>
              <w:t>E</w:t>
            </w:r>
            <w:r w:rsidRPr="006F404A">
              <w:rPr>
                <w:rFonts w:ascii="Arial" w:hAnsi="Arial" w:cs="Arial"/>
                <w:sz w:val="16"/>
              </w:rPr>
              <w:t>-</w:t>
            </w:r>
            <w:r w:rsidRPr="00701A8A">
              <w:rPr>
                <w:rFonts w:ascii="Arial" w:hAnsi="Arial" w:cs="Arial"/>
                <w:sz w:val="16"/>
                <w:lang w:val="en-US"/>
              </w:rPr>
              <w:t>mail</w:t>
            </w:r>
            <w:r w:rsidRPr="006F404A">
              <w:rPr>
                <w:rFonts w:ascii="Arial" w:hAnsi="Arial" w:cs="Arial"/>
                <w:sz w:val="16"/>
              </w:rPr>
              <w:t xml:space="preserve">: </w:t>
            </w:r>
            <w:r w:rsidR="00FE7CD1">
              <w:rPr>
                <w:rFonts w:ascii="Arial" w:hAnsi="Arial" w:cs="Arial"/>
                <w:sz w:val="16"/>
                <w:szCs w:val="16"/>
                <w:lang w:val="en-US"/>
              </w:rPr>
              <w:t>duma</w:t>
            </w:r>
            <w:r w:rsidR="00FE7CD1" w:rsidRPr="00FE7CD1">
              <w:rPr>
                <w:rFonts w:ascii="Arial" w:hAnsi="Arial" w:cs="Arial"/>
                <w:sz w:val="16"/>
                <w:szCs w:val="16"/>
              </w:rPr>
              <w:t>@</w:t>
            </w:r>
            <w:r w:rsidR="00FE7CD1" w:rsidRPr="00427F54">
              <w:rPr>
                <w:rFonts w:ascii="Arial" w:hAnsi="Arial" w:cs="Arial"/>
                <w:sz w:val="16"/>
                <w:szCs w:val="16"/>
                <w:lang w:val="en-US"/>
              </w:rPr>
              <w:t>admoil</w:t>
            </w:r>
            <w:r w:rsidR="00FE7CD1" w:rsidRPr="00FE7CD1">
              <w:rPr>
                <w:rFonts w:ascii="Arial" w:hAnsi="Arial" w:cs="Arial"/>
                <w:sz w:val="16"/>
                <w:szCs w:val="16"/>
              </w:rPr>
              <w:t>.</w:t>
            </w:r>
            <w:r w:rsidR="00FE7CD1" w:rsidRPr="00427F54">
              <w:rPr>
                <w:rFonts w:ascii="Arial" w:hAnsi="Arial" w:cs="Arial"/>
                <w:sz w:val="16"/>
                <w:szCs w:val="16"/>
                <w:lang w:val="en-US"/>
              </w:rPr>
              <w:t>ru</w:t>
            </w:r>
          </w:p>
          <w:p w14:paraId="313CAEB6" w14:textId="41C00DDC" w:rsidR="008C03A1" w:rsidRPr="006F404A" w:rsidRDefault="00385554" w:rsidP="00701A8A">
            <w:pPr>
              <w:tabs>
                <w:tab w:val="left" w:pos="4395"/>
              </w:tabs>
              <w:jc w:val="center"/>
              <w:rPr>
                <w:rFonts w:ascii="Arial" w:hAnsi="Arial" w:cs="Arial"/>
                <w:sz w:val="16"/>
              </w:rPr>
            </w:pPr>
            <w:hyperlink r:id="rId9" w:history="1">
              <w:r w:rsidR="00AC6616" w:rsidRPr="005E10EC">
                <w:rPr>
                  <w:rStyle w:val="aa"/>
                  <w:rFonts w:ascii="Arial" w:hAnsi="Arial" w:cs="Arial"/>
                  <w:color w:val="auto"/>
                  <w:sz w:val="16"/>
                  <w:u w:val="none"/>
                  <w:lang w:val="en-US"/>
                </w:rPr>
                <w:t>http</w:t>
              </w:r>
              <w:r w:rsidR="00AC6616" w:rsidRPr="005E10EC">
                <w:rPr>
                  <w:rStyle w:val="aa"/>
                  <w:rFonts w:ascii="Arial" w:hAnsi="Arial" w:cs="Arial"/>
                  <w:color w:val="auto"/>
                  <w:sz w:val="16"/>
                  <w:u w:val="none"/>
                </w:rPr>
                <w:t>://</w:t>
              </w:r>
              <w:r w:rsidR="00AC6616" w:rsidRPr="005E10EC">
                <w:rPr>
                  <w:rStyle w:val="aa"/>
                  <w:rFonts w:ascii="Arial" w:hAnsi="Arial" w:cs="Arial"/>
                  <w:color w:val="auto"/>
                  <w:sz w:val="16"/>
                  <w:u w:val="none"/>
                  <w:lang w:val="en-US"/>
                </w:rPr>
                <w:t>admoil.gosuslugi.ru</w:t>
              </w:r>
            </w:hyperlink>
          </w:p>
          <w:p w14:paraId="56FCA06F" w14:textId="4ED68041" w:rsidR="000A6047" w:rsidRPr="00FE7CD1" w:rsidRDefault="000A6047" w:rsidP="00701A8A">
            <w:pPr>
              <w:tabs>
                <w:tab w:val="left" w:pos="4395"/>
              </w:tabs>
              <w:jc w:val="center"/>
              <w:rPr>
                <w:rFonts w:ascii="Arial" w:hAnsi="Arial" w:cs="Arial"/>
                <w:sz w:val="16"/>
              </w:rPr>
            </w:pPr>
          </w:p>
        </w:tc>
        <w:tc>
          <w:tcPr>
            <w:tcW w:w="5302" w:type="dxa"/>
            <w:gridSpan w:val="4"/>
          </w:tcPr>
          <w:p w14:paraId="34A3974B" w14:textId="77777777" w:rsidR="000A6047" w:rsidRPr="00FE7CD1" w:rsidRDefault="000A6047" w:rsidP="000A6047">
            <w:pPr>
              <w:jc w:val="both"/>
            </w:pPr>
          </w:p>
        </w:tc>
      </w:tr>
      <w:tr w:rsidR="00F94668" w14:paraId="5D163919" w14:textId="77777777" w:rsidTr="00DC2230">
        <w:trPr>
          <w:trHeight w:val="2266"/>
        </w:trPr>
        <w:tc>
          <w:tcPr>
            <w:tcW w:w="4428" w:type="dxa"/>
            <w:gridSpan w:val="5"/>
            <w:vMerge/>
          </w:tcPr>
          <w:p w14:paraId="4A0A48F5" w14:textId="77777777" w:rsidR="00F94668" w:rsidRPr="00FE7CD1" w:rsidRDefault="00F94668" w:rsidP="005A7E0B">
            <w:pPr>
              <w:pStyle w:val="6"/>
              <w:tabs>
                <w:tab w:val="clear" w:pos="4253"/>
                <w:tab w:val="left" w:pos="9214"/>
              </w:tabs>
              <w:ind w:right="0"/>
              <w:rPr>
                <w:rFonts w:cs="Arial"/>
              </w:rPr>
            </w:pPr>
          </w:p>
        </w:tc>
        <w:tc>
          <w:tcPr>
            <w:tcW w:w="5302" w:type="dxa"/>
            <w:gridSpan w:val="4"/>
          </w:tcPr>
          <w:p w14:paraId="1BD4E0BA" w14:textId="701F7517" w:rsidR="00AA7E72" w:rsidRPr="00C878BA" w:rsidRDefault="00AA7E72" w:rsidP="00AA7E72">
            <w:pPr>
              <w:ind w:left="148"/>
              <w:rPr>
                <w:rFonts w:cs="Arial"/>
                <w:sz w:val="26"/>
                <w:szCs w:val="26"/>
              </w:rPr>
            </w:pPr>
            <w:r w:rsidRPr="00C878BA">
              <w:rPr>
                <w:rFonts w:cs="Arial"/>
                <w:sz w:val="26"/>
                <w:szCs w:val="26"/>
              </w:rPr>
              <w:t xml:space="preserve">Председателю Думы Ханты-Мансийского автономного округа – Югры </w:t>
            </w:r>
          </w:p>
          <w:p w14:paraId="50BDFD9C" w14:textId="77777777" w:rsidR="00AA7E72" w:rsidRPr="00C878BA" w:rsidRDefault="00AA7E72" w:rsidP="00AA7E72">
            <w:pPr>
              <w:ind w:left="148"/>
              <w:rPr>
                <w:rFonts w:cs="Arial"/>
                <w:caps/>
                <w:sz w:val="26"/>
                <w:szCs w:val="26"/>
              </w:rPr>
            </w:pPr>
            <w:r w:rsidRPr="00C878BA">
              <w:rPr>
                <w:rFonts w:cs="Arial"/>
                <w:sz w:val="26"/>
                <w:szCs w:val="26"/>
              </w:rPr>
              <w:t>Хохрякову</w:t>
            </w:r>
            <w:r w:rsidRPr="006F4EF6">
              <w:rPr>
                <w:rFonts w:cs="Arial"/>
                <w:sz w:val="26"/>
                <w:szCs w:val="26"/>
              </w:rPr>
              <w:t xml:space="preserve"> </w:t>
            </w:r>
            <w:r w:rsidRPr="00C878BA">
              <w:rPr>
                <w:rFonts w:cs="Arial"/>
                <w:sz w:val="26"/>
                <w:szCs w:val="26"/>
              </w:rPr>
              <w:t>Б.С.</w:t>
            </w:r>
          </w:p>
          <w:p w14:paraId="56AD9ABD" w14:textId="6B548D71" w:rsidR="00F94668" w:rsidRPr="00FC3798" w:rsidRDefault="00F94668" w:rsidP="00DC2230">
            <w:pPr>
              <w:keepNext/>
              <w:keepLines/>
              <w:outlineLvl w:val="2"/>
              <w:rPr>
                <w:sz w:val="26"/>
                <w:szCs w:val="26"/>
              </w:rPr>
            </w:pPr>
          </w:p>
        </w:tc>
      </w:tr>
      <w:bookmarkEnd w:id="0"/>
      <w:tr w:rsidR="00E724B9" w:rsidRPr="00E21942" w14:paraId="3F2C7F62" w14:textId="77777777" w:rsidTr="00DC2230">
        <w:trPr>
          <w:trHeight w:val="298"/>
        </w:trPr>
        <w:tc>
          <w:tcPr>
            <w:tcW w:w="2197" w:type="dxa"/>
            <w:gridSpan w:val="3"/>
            <w:tcBorders>
              <w:bottom w:val="single" w:sz="4" w:space="0" w:color="auto"/>
            </w:tcBorders>
            <w:vAlign w:val="bottom"/>
          </w:tcPr>
          <w:p w14:paraId="1BFF2EA5" w14:textId="77D67D84" w:rsidR="00E724B9" w:rsidRPr="00A527ED" w:rsidRDefault="002B0C75" w:rsidP="00440BEE">
            <w:pPr>
              <w:jc w:val="center"/>
            </w:pPr>
            <w:r>
              <w:t>19.08.2024</w:t>
            </w:r>
          </w:p>
        </w:tc>
        <w:tc>
          <w:tcPr>
            <w:tcW w:w="445" w:type="dxa"/>
            <w:vAlign w:val="bottom"/>
          </w:tcPr>
          <w:p w14:paraId="27AD2BD0" w14:textId="77777777" w:rsidR="00E724B9" w:rsidRPr="00A527ED" w:rsidRDefault="00E724B9" w:rsidP="00440BEE">
            <w:pPr>
              <w:jc w:val="right"/>
            </w:pPr>
            <w:r w:rsidRPr="00A527ED">
              <w:t>№</w:t>
            </w:r>
          </w:p>
        </w:tc>
        <w:tc>
          <w:tcPr>
            <w:tcW w:w="1800" w:type="dxa"/>
            <w:gridSpan w:val="2"/>
            <w:tcBorders>
              <w:bottom w:val="single" w:sz="4" w:space="0" w:color="auto"/>
            </w:tcBorders>
            <w:vAlign w:val="bottom"/>
          </w:tcPr>
          <w:p w14:paraId="3976830F" w14:textId="7D7ED0B2" w:rsidR="00E724B9" w:rsidRPr="00A527ED" w:rsidRDefault="00E724B9" w:rsidP="00440BEE">
            <w:pPr>
              <w:ind w:right="-161"/>
            </w:pPr>
            <w:r>
              <w:t>16-исх-</w:t>
            </w:r>
            <w:r w:rsidR="002B0C75">
              <w:t>295</w:t>
            </w:r>
          </w:p>
        </w:tc>
        <w:tc>
          <w:tcPr>
            <w:tcW w:w="302" w:type="dxa"/>
            <w:vAlign w:val="bottom"/>
          </w:tcPr>
          <w:p w14:paraId="128EAEA5" w14:textId="77777777" w:rsidR="00E724B9" w:rsidRPr="00E21942" w:rsidRDefault="00E724B9" w:rsidP="00440BEE">
            <w:pPr>
              <w:jc w:val="right"/>
              <w:rPr>
                <w:rFonts w:ascii="Arial" w:hAnsi="Arial" w:cs="Arial"/>
                <w:sz w:val="14"/>
              </w:rPr>
            </w:pPr>
          </w:p>
        </w:tc>
        <w:tc>
          <w:tcPr>
            <w:tcW w:w="4986" w:type="dxa"/>
            <w:gridSpan w:val="2"/>
          </w:tcPr>
          <w:p w14:paraId="06CE9B67" w14:textId="77777777" w:rsidR="00E724B9" w:rsidRPr="00E21942" w:rsidRDefault="00E724B9" w:rsidP="00440BEE">
            <w:pPr>
              <w:jc w:val="both"/>
              <w:rPr>
                <w:rFonts w:ascii="Arial" w:hAnsi="Arial" w:cs="Arial"/>
              </w:rPr>
            </w:pPr>
          </w:p>
        </w:tc>
      </w:tr>
      <w:tr w:rsidR="00E724B9" w:rsidRPr="00E21942" w14:paraId="2644536A" w14:textId="77777777" w:rsidTr="00DC2230">
        <w:trPr>
          <w:trHeight w:val="481"/>
        </w:trPr>
        <w:tc>
          <w:tcPr>
            <w:tcW w:w="1149" w:type="dxa"/>
            <w:tcBorders>
              <w:bottom w:val="single" w:sz="4" w:space="0" w:color="auto"/>
            </w:tcBorders>
            <w:vAlign w:val="bottom"/>
          </w:tcPr>
          <w:p w14:paraId="291F9896" w14:textId="3379650D" w:rsidR="00E724B9" w:rsidRPr="00E82F08" w:rsidRDefault="00B136B7" w:rsidP="00AA7E72">
            <w:pPr>
              <w:jc w:val="center"/>
              <w:rPr>
                <w:rFonts w:ascii="Arial" w:hAnsi="Arial" w:cs="Arial"/>
              </w:rPr>
            </w:pPr>
            <w:r w:rsidRPr="002B0C75">
              <w:t>1467</w:t>
            </w:r>
          </w:p>
        </w:tc>
        <w:tc>
          <w:tcPr>
            <w:tcW w:w="379" w:type="dxa"/>
            <w:vAlign w:val="bottom"/>
          </w:tcPr>
          <w:p w14:paraId="3C2D7EFF" w14:textId="77777777" w:rsidR="00E724B9" w:rsidRPr="00E21942" w:rsidRDefault="00E724B9" w:rsidP="00440BEE">
            <w:pPr>
              <w:jc w:val="right"/>
              <w:rPr>
                <w:rFonts w:ascii="Arial" w:hAnsi="Arial" w:cs="Arial"/>
                <w:sz w:val="16"/>
              </w:rPr>
            </w:pPr>
            <w:r w:rsidRPr="00E82F08">
              <w:rPr>
                <w:rFonts w:ascii="Arial" w:hAnsi="Arial" w:cs="Arial"/>
                <w:sz w:val="16"/>
              </w:rPr>
              <w:t xml:space="preserve">  </w:t>
            </w:r>
            <w:r w:rsidRPr="00E21942">
              <w:rPr>
                <w:rFonts w:ascii="Arial" w:hAnsi="Arial" w:cs="Arial"/>
                <w:sz w:val="16"/>
              </w:rPr>
              <w:t>от</w:t>
            </w:r>
          </w:p>
        </w:tc>
        <w:tc>
          <w:tcPr>
            <w:tcW w:w="2914" w:type="dxa"/>
            <w:gridSpan w:val="4"/>
            <w:tcBorders>
              <w:bottom w:val="single" w:sz="4" w:space="0" w:color="auto"/>
            </w:tcBorders>
            <w:vAlign w:val="bottom"/>
          </w:tcPr>
          <w:p w14:paraId="386DC192" w14:textId="40EBAA84" w:rsidR="00E724B9" w:rsidRPr="00E82F08" w:rsidRDefault="00B136B7" w:rsidP="00AA7E72">
            <w:pPr>
              <w:jc w:val="center"/>
              <w:rPr>
                <w:rFonts w:ascii="Arial" w:hAnsi="Arial" w:cs="Arial"/>
              </w:rPr>
            </w:pPr>
            <w:r w:rsidRPr="002B0C75">
              <w:t>21.06.2024</w:t>
            </w:r>
          </w:p>
        </w:tc>
        <w:tc>
          <w:tcPr>
            <w:tcW w:w="302" w:type="dxa"/>
            <w:vAlign w:val="bottom"/>
          </w:tcPr>
          <w:p w14:paraId="65A7DC12" w14:textId="77777777" w:rsidR="00E724B9" w:rsidRPr="00E21942" w:rsidRDefault="00E724B9" w:rsidP="00440BEE">
            <w:pPr>
              <w:jc w:val="right"/>
              <w:rPr>
                <w:rFonts w:ascii="Arial" w:hAnsi="Arial" w:cs="Arial"/>
                <w:sz w:val="14"/>
              </w:rPr>
            </w:pPr>
          </w:p>
        </w:tc>
        <w:tc>
          <w:tcPr>
            <w:tcW w:w="4986" w:type="dxa"/>
            <w:gridSpan w:val="2"/>
          </w:tcPr>
          <w:p w14:paraId="73B29D2A" w14:textId="77777777" w:rsidR="00E724B9" w:rsidRPr="00E21942" w:rsidRDefault="00E724B9" w:rsidP="00440BEE">
            <w:pPr>
              <w:jc w:val="both"/>
              <w:rPr>
                <w:rFonts w:ascii="Arial" w:hAnsi="Arial" w:cs="Arial"/>
              </w:rPr>
            </w:pPr>
          </w:p>
        </w:tc>
      </w:tr>
      <w:tr w:rsidR="00E724B9" w:rsidRPr="00E21942" w14:paraId="5CDB18F5" w14:textId="77777777" w:rsidTr="00DC2230">
        <w:trPr>
          <w:trHeight w:val="331"/>
        </w:trPr>
        <w:tc>
          <w:tcPr>
            <w:tcW w:w="4750" w:type="dxa"/>
            <w:gridSpan w:val="8"/>
            <w:vAlign w:val="bottom"/>
          </w:tcPr>
          <w:p w14:paraId="2640C66D" w14:textId="77777777" w:rsidR="00E724B9" w:rsidRPr="00E21942" w:rsidRDefault="00E724B9" w:rsidP="00440BEE">
            <w:pPr>
              <w:jc w:val="right"/>
              <w:rPr>
                <w:rFonts w:ascii="Arial" w:hAnsi="Arial" w:cs="Arial"/>
                <w:sz w:val="26"/>
                <w:szCs w:val="26"/>
              </w:rPr>
            </w:pPr>
          </w:p>
        </w:tc>
        <w:tc>
          <w:tcPr>
            <w:tcW w:w="4983" w:type="dxa"/>
          </w:tcPr>
          <w:p w14:paraId="1E0910ED" w14:textId="77777777" w:rsidR="00E724B9" w:rsidRPr="00E21942" w:rsidRDefault="00E724B9" w:rsidP="00440BEE">
            <w:pPr>
              <w:jc w:val="both"/>
              <w:rPr>
                <w:rFonts w:ascii="Arial" w:hAnsi="Arial" w:cs="Arial"/>
                <w:sz w:val="26"/>
                <w:szCs w:val="26"/>
              </w:rPr>
            </w:pPr>
          </w:p>
        </w:tc>
      </w:tr>
      <w:tr w:rsidR="008D0426" w:rsidRPr="00E21942" w14:paraId="2607294B" w14:textId="77777777" w:rsidTr="00DC2230">
        <w:trPr>
          <w:trHeight w:val="331"/>
        </w:trPr>
        <w:tc>
          <w:tcPr>
            <w:tcW w:w="4750" w:type="dxa"/>
            <w:gridSpan w:val="8"/>
            <w:vAlign w:val="bottom"/>
          </w:tcPr>
          <w:p w14:paraId="658953D7" w14:textId="77777777" w:rsidR="00AA7E72" w:rsidRPr="00C878BA" w:rsidRDefault="00AA7E72" w:rsidP="00AA7E72">
            <w:pPr>
              <w:shd w:val="clear" w:color="auto" w:fill="FFFFFF"/>
              <w:jc w:val="both"/>
              <w:rPr>
                <w:bCs/>
                <w:sz w:val="26"/>
                <w:szCs w:val="26"/>
              </w:rPr>
            </w:pPr>
            <w:r w:rsidRPr="00C878BA">
              <w:rPr>
                <w:bCs/>
                <w:sz w:val="26"/>
                <w:szCs w:val="26"/>
              </w:rPr>
              <w:t>О предоставлении информации</w:t>
            </w:r>
          </w:p>
          <w:p w14:paraId="6FDFE272" w14:textId="29F915EE" w:rsidR="008D0426" w:rsidRPr="00E21942" w:rsidRDefault="008D0426" w:rsidP="008D0426">
            <w:pPr>
              <w:rPr>
                <w:rFonts w:ascii="Arial" w:hAnsi="Arial" w:cs="Arial"/>
                <w:sz w:val="26"/>
                <w:szCs w:val="26"/>
              </w:rPr>
            </w:pPr>
          </w:p>
        </w:tc>
        <w:tc>
          <w:tcPr>
            <w:tcW w:w="4983" w:type="dxa"/>
          </w:tcPr>
          <w:p w14:paraId="7AFF0F9E" w14:textId="77777777" w:rsidR="008D0426" w:rsidRPr="00E21942" w:rsidRDefault="008D0426" w:rsidP="00440BEE">
            <w:pPr>
              <w:jc w:val="both"/>
              <w:rPr>
                <w:rFonts w:ascii="Arial" w:hAnsi="Arial" w:cs="Arial"/>
                <w:sz w:val="26"/>
                <w:szCs w:val="26"/>
              </w:rPr>
            </w:pPr>
          </w:p>
        </w:tc>
      </w:tr>
    </w:tbl>
    <w:p w14:paraId="6C0DF001" w14:textId="01329646" w:rsidR="00AA7E72" w:rsidRDefault="00AA7E72" w:rsidP="00AA7E72">
      <w:pPr>
        <w:shd w:val="clear" w:color="auto" w:fill="FFFFFF"/>
        <w:ind w:firstLine="709"/>
        <w:jc w:val="both"/>
        <w:rPr>
          <w:bCs/>
          <w:sz w:val="26"/>
          <w:szCs w:val="26"/>
        </w:rPr>
      </w:pPr>
    </w:p>
    <w:p w14:paraId="0CBBAA0A" w14:textId="77777777" w:rsidR="003423A1" w:rsidRPr="00C878BA" w:rsidRDefault="003423A1" w:rsidP="00AA7E72">
      <w:pPr>
        <w:shd w:val="clear" w:color="auto" w:fill="FFFFFF"/>
        <w:ind w:firstLine="709"/>
        <w:jc w:val="both"/>
        <w:rPr>
          <w:bCs/>
          <w:sz w:val="26"/>
          <w:szCs w:val="26"/>
        </w:rPr>
      </w:pPr>
    </w:p>
    <w:p w14:paraId="6DBD4002" w14:textId="77777777" w:rsidR="00AA7E72" w:rsidRPr="00C878BA" w:rsidRDefault="00AA7E72" w:rsidP="00AA7E72">
      <w:pPr>
        <w:shd w:val="clear" w:color="auto" w:fill="FFFFFF"/>
        <w:ind w:firstLine="709"/>
        <w:jc w:val="center"/>
        <w:rPr>
          <w:bCs/>
          <w:sz w:val="26"/>
          <w:szCs w:val="26"/>
        </w:rPr>
      </w:pPr>
      <w:r w:rsidRPr="00C878BA">
        <w:rPr>
          <w:bCs/>
          <w:sz w:val="26"/>
          <w:szCs w:val="26"/>
        </w:rPr>
        <w:t>Уважаемый Борис Сергеевич!</w:t>
      </w:r>
    </w:p>
    <w:p w14:paraId="104D916E" w14:textId="77777777" w:rsidR="00AA7E72" w:rsidRPr="00A31C92" w:rsidRDefault="00AA7E72" w:rsidP="00AA7E72">
      <w:pPr>
        <w:shd w:val="clear" w:color="auto" w:fill="FFFFFF"/>
        <w:ind w:firstLine="709"/>
        <w:jc w:val="both"/>
        <w:rPr>
          <w:bCs/>
          <w:sz w:val="26"/>
          <w:szCs w:val="26"/>
        </w:rPr>
      </w:pPr>
    </w:p>
    <w:p w14:paraId="0AD0D074" w14:textId="1BE84DA7" w:rsidR="00AA7E72" w:rsidRDefault="00AA7E72" w:rsidP="00AA7E72">
      <w:pPr>
        <w:shd w:val="clear" w:color="auto" w:fill="FFFFFF"/>
        <w:ind w:firstLine="709"/>
        <w:jc w:val="both"/>
        <w:rPr>
          <w:bCs/>
          <w:sz w:val="26"/>
          <w:szCs w:val="26"/>
        </w:rPr>
      </w:pPr>
      <w:r w:rsidRPr="00A31C92">
        <w:rPr>
          <w:bCs/>
          <w:sz w:val="26"/>
          <w:szCs w:val="26"/>
        </w:rPr>
        <w:t xml:space="preserve">Направляем информацию о выполнении решения </w:t>
      </w:r>
      <w:r>
        <w:rPr>
          <w:bCs/>
          <w:sz w:val="26"/>
          <w:szCs w:val="26"/>
        </w:rPr>
        <w:t xml:space="preserve">двадцать </w:t>
      </w:r>
      <w:r w:rsidR="00B136B7">
        <w:rPr>
          <w:bCs/>
          <w:sz w:val="26"/>
          <w:szCs w:val="26"/>
        </w:rPr>
        <w:t>пятого</w:t>
      </w:r>
      <w:r w:rsidRPr="00A31C92">
        <w:rPr>
          <w:bCs/>
          <w:sz w:val="26"/>
          <w:szCs w:val="26"/>
        </w:rPr>
        <w:t xml:space="preserve"> заседания Координационного совета органов местного самоуправления Ханты-Мансийского автономного округа – Югры и Думы Ханты-Мансийского автономного округа – Югры</w:t>
      </w:r>
      <w:r>
        <w:rPr>
          <w:bCs/>
          <w:sz w:val="26"/>
          <w:szCs w:val="26"/>
        </w:rPr>
        <w:t xml:space="preserve"> согласно приложению.</w:t>
      </w:r>
    </w:p>
    <w:p w14:paraId="07D99B0E" w14:textId="77777777" w:rsidR="00AA7E72" w:rsidRDefault="00AA7E72" w:rsidP="00AA7E72">
      <w:pPr>
        <w:jc w:val="both"/>
        <w:rPr>
          <w:sz w:val="26"/>
          <w:szCs w:val="26"/>
        </w:rPr>
      </w:pPr>
    </w:p>
    <w:p w14:paraId="421E224E" w14:textId="77777777" w:rsidR="00AA7E72" w:rsidRDefault="00AA7E72" w:rsidP="00AA7E72">
      <w:pPr>
        <w:jc w:val="both"/>
        <w:rPr>
          <w:sz w:val="26"/>
          <w:szCs w:val="26"/>
        </w:rPr>
      </w:pPr>
    </w:p>
    <w:p w14:paraId="1916E959" w14:textId="77777777" w:rsidR="00AA7E72" w:rsidRPr="00A31C92" w:rsidRDefault="00AA7E72" w:rsidP="00AA7E72">
      <w:pPr>
        <w:jc w:val="both"/>
        <w:rPr>
          <w:sz w:val="26"/>
          <w:szCs w:val="26"/>
        </w:rPr>
      </w:pPr>
    </w:p>
    <w:p w14:paraId="58106EF6" w14:textId="77777777" w:rsidR="00BE267C" w:rsidRDefault="00BE267C" w:rsidP="00AA7E72">
      <w:pPr>
        <w:jc w:val="both"/>
        <w:rPr>
          <w:sz w:val="26"/>
          <w:szCs w:val="26"/>
        </w:rPr>
      </w:pPr>
      <w:r>
        <w:rPr>
          <w:sz w:val="26"/>
          <w:szCs w:val="26"/>
        </w:rPr>
        <w:t>Исполняющий обязанности</w:t>
      </w:r>
    </w:p>
    <w:p w14:paraId="1F02BB19" w14:textId="6268478A" w:rsidR="00AA7E72" w:rsidRPr="00A31C92" w:rsidRDefault="00BE267C" w:rsidP="00AA7E72">
      <w:pPr>
        <w:jc w:val="both"/>
        <w:rPr>
          <w:sz w:val="26"/>
          <w:szCs w:val="26"/>
        </w:rPr>
      </w:pPr>
      <w:r>
        <w:rPr>
          <w:sz w:val="26"/>
          <w:szCs w:val="26"/>
        </w:rPr>
        <w:t>п</w:t>
      </w:r>
      <w:r w:rsidR="00AA7E72" w:rsidRPr="00A31C92">
        <w:rPr>
          <w:sz w:val="26"/>
          <w:szCs w:val="26"/>
        </w:rPr>
        <w:t>редседател</w:t>
      </w:r>
      <w:r>
        <w:rPr>
          <w:sz w:val="26"/>
          <w:szCs w:val="26"/>
        </w:rPr>
        <w:t>я</w:t>
      </w:r>
      <w:r w:rsidR="00AA7E72" w:rsidRPr="00A31C92">
        <w:rPr>
          <w:sz w:val="26"/>
          <w:szCs w:val="26"/>
        </w:rPr>
        <w:t xml:space="preserve"> Думы                        </w:t>
      </w:r>
      <w:r w:rsidR="00AA7E72" w:rsidRPr="00A31C92">
        <w:rPr>
          <w:sz w:val="26"/>
          <w:szCs w:val="26"/>
        </w:rPr>
        <w:tab/>
        <w:t xml:space="preserve">                                   </w:t>
      </w:r>
      <w:r>
        <w:rPr>
          <w:sz w:val="26"/>
          <w:szCs w:val="26"/>
        </w:rPr>
        <w:t>А.В.Берг</w:t>
      </w:r>
    </w:p>
    <w:p w14:paraId="46D077A9" w14:textId="77777777" w:rsidR="00AA7E72" w:rsidRPr="00A31C92" w:rsidRDefault="00AA7E72" w:rsidP="00AA7E72">
      <w:pPr>
        <w:ind w:firstLine="709"/>
        <w:jc w:val="both"/>
        <w:rPr>
          <w:sz w:val="26"/>
          <w:szCs w:val="26"/>
        </w:rPr>
      </w:pPr>
    </w:p>
    <w:p w14:paraId="468B7678" w14:textId="77777777" w:rsidR="00AA7E72" w:rsidRPr="00A31C92" w:rsidRDefault="00AA7E72" w:rsidP="00AA7E72">
      <w:pPr>
        <w:pStyle w:val="ad"/>
        <w:rPr>
          <w:rFonts w:eastAsia="Calibri"/>
          <w:sz w:val="26"/>
          <w:szCs w:val="26"/>
          <w:lang w:eastAsia="en-US"/>
        </w:rPr>
      </w:pPr>
    </w:p>
    <w:p w14:paraId="6F4CBEE5" w14:textId="77777777" w:rsidR="00AA7E72" w:rsidRDefault="00AA7E72" w:rsidP="00AA7E72">
      <w:pPr>
        <w:pStyle w:val="ad"/>
        <w:rPr>
          <w:rFonts w:eastAsia="Calibri"/>
          <w:lang w:eastAsia="en-US"/>
        </w:rPr>
      </w:pPr>
    </w:p>
    <w:p w14:paraId="6E444735" w14:textId="77777777" w:rsidR="00AA7E72" w:rsidRDefault="00AA7E72" w:rsidP="00AA7E72">
      <w:pPr>
        <w:pStyle w:val="ad"/>
        <w:rPr>
          <w:rFonts w:eastAsia="Calibri"/>
          <w:lang w:eastAsia="en-US"/>
        </w:rPr>
      </w:pPr>
    </w:p>
    <w:p w14:paraId="4C6CAB5F" w14:textId="77777777" w:rsidR="00AA7E72" w:rsidRDefault="00AA7E72" w:rsidP="00AA7E72">
      <w:pPr>
        <w:pStyle w:val="ad"/>
        <w:rPr>
          <w:rFonts w:eastAsia="Calibri"/>
          <w:lang w:eastAsia="en-US"/>
        </w:rPr>
      </w:pPr>
    </w:p>
    <w:p w14:paraId="7FF743BC" w14:textId="77777777" w:rsidR="00AA7E72" w:rsidRDefault="00AA7E72" w:rsidP="00AA7E72">
      <w:pPr>
        <w:pStyle w:val="ad"/>
        <w:rPr>
          <w:rFonts w:eastAsia="Calibri"/>
          <w:lang w:eastAsia="en-US"/>
        </w:rPr>
      </w:pPr>
    </w:p>
    <w:p w14:paraId="4BEE7689" w14:textId="77777777" w:rsidR="00AA7E72" w:rsidRDefault="00AA7E72" w:rsidP="00AA7E72">
      <w:pPr>
        <w:pStyle w:val="ad"/>
        <w:rPr>
          <w:rFonts w:eastAsia="Calibri"/>
          <w:lang w:eastAsia="en-US"/>
        </w:rPr>
      </w:pPr>
    </w:p>
    <w:p w14:paraId="16464DB3" w14:textId="77777777" w:rsidR="00AA7E72" w:rsidRDefault="00AA7E72" w:rsidP="00AA7E72">
      <w:pPr>
        <w:pStyle w:val="ad"/>
        <w:rPr>
          <w:rFonts w:eastAsia="Calibri"/>
          <w:lang w:eastAsia="en-US"/>
        </w:rPr>
      </w:pPr>
    </w:p>
    <w:p w14:paraId="221F7D08" w14:textId="77777777" w:rsidR="00AA7E72" w:rsidRDefault="00AA7E72" w:rsidP="00AA7E72">
      <w:pPr>
        <w:pStyle w:val="ad"/>
        <w:rPr>
          <w:rFonts w:eastAsia="Calibri"/>
          <w:lang w:eastAsia="en-US"/>
        </w:rPr>
      </w:pPr>
    </w:p>
    <w:p w14:paraId="2D0C6DCE" w14:textId="77777777" w:rsidR="00AA7E72" w:rsidRDefault="00AA7E72" w:rsidP="00AA7E72">
      <w:pPr>
        <w:pStyle w:val="ad"/>
        <w:rPr>
          <w:rFonts w:eastAsia="Calibri"/>
          <w:lang w:eastAsia="en-US"/>
        </w:rPr>
      </w:pPr>
    </w:p>
    <w:p w14:paraId="50DD3FC4" w14:textId="77777777" w:rsidR="00AA7E72" w:rsidRDefault="00AA7E72" w:rsidP="00AA7E72">
      <w:pPr>
        <w:pStyle w:val="ad"/>
        <w:rPr>
          <w:rFonts w:eastAsia="Calibri"/>
          <w:lang w:eastAsia="en-US"/>
        </w:rPr>
      </w:pPr>
    </w:p>
    <w:p w14:paraId="52E42A6D" w14:textId="77777777" w:rsidR="00AA7E72" w:rsidRDefault="00AA7E72" w:rsidP="00AA7E72">
      <w:pPr>
        <w:pStyle w:val="ad"/>
        <w:rPr>
          <w:rFonts w:eastAsia="Calibri"/>
          <w:lang w:eastAsia="en-US"/>
        </w:rPr>
      </w:pPr>
    </w:p>
    <w:p w14:paraId="163C8AD7" w14:textId="32AB82D8" w:rsidR="00AA7E72" w:rsidRDefault="00AA7E72" w:rsidP="00AA7E72">
      <w:pPr>
        <w:pStyle w:val="ad"/>
        <w:rPr>
          <w:rFonts w:eastAsia="Calibri"/>
          <w:lang w:eastAsia="en-US"/>
        </w:rPr>
      </w:pPr>
    </w:p>
    <w:p w14:paraId="4CDBFD87" w14:textId="757E764A" w:rsidR="00AA7E72" w:rsidRDefault="00AA7E72" w:rsidP="00AA7E72">
      <w:pPr>
        <w:pStyle w:val="ad"/>
        <w:rPr>
          <w:rFonts w:eastAsia="Calibri"/>
          <w:sz w:val="10"/>
          <w:szCs w:val="10"/>
          <w:lang w:eastAsia="en-US"/>
        </w:rPr>
      </w:pPr>
    </w:p>
    <w:p w14:paraId="0F8CED4C" w14:textId="2C782C31" w:rsidR="008836A0" w:rsidRDefault="008836A0" w:rsidP="00AA7E72">
      <w:pPr>
        <w:pStyle w:val="ad"/>
        <w:rPr>
          <w:rFonts w:eastAsia="Calibri"/>
          <w:sz w:val="10"/>
          <w:szCs w:val="10"/>
          <w:lang w:eastAsia="en-US"/>
        </w:rPr>
      </w:pPr>
    </w:p>
    <w:p w14:paraId="19441464" w14:textId="63CF09D5" w:rsidR="008836A0" w:rsidRDefault="008836A0" w:rsidP="00AA7E72">
      <w:pPr>
        <w:pStyle w:val="ad"/>
        <w:rPr>
          <w:rFonts w:eastAsia="Calibri"/>
          <w:sz w:val="10"/>
          <w:szCs w:val="10"/>
          <w:lang w:eastAsia="en-US"/>
        </w:rPr>
      </w:pPr>
    </w:p>
    <w:p w14:paraId="18B9117D" w14:textId="0EE0AB79" w:rsidR="008836A0" w:rsidRDefault="008836A0" w:rsidP="00AA7E72">
      <w:pPr>
        <w:pStyle w:val="ad"/>
        <w:rPr>
          <w:rFonts w:eastAsia="Calibri"/>
          <w:sz w:val="10"/>
          <w:szCs w:val="10"/>
          <w:lang w:eastAsia="en-US"/>
        </w:rPr>
      </w:pPr>
    </w:p>
    <w:p w14:paraId="5C1F0A3C" w14:textId="77777777" w:rsidR="008836A0" w:rsidRDefault="008836A0" w:rsidP="00AA7E72">
      <w:pPr>
        <w:pStyle w:val="ad"/>
        <w:rPr>
          <w:rFonts w:eastAsia="Calibri"/>
          <w:sz w:val="10"/>
          <w:szCs w:val="10"/>
          <w:lang w:eastAsia="en-US"/>
        </w:rPr>
      </w:pPr>
    </w:p>
    <w:p w14:paraId="64D2F717" w14:textId="77777777" w:rsidR="00AA7E72" w:rsidRPr="00AA7E72" w:rsidRDefault="00AA7E72" w:rsidP="00AA7E72">
      <w:pPr>
        <w:jc w:val="both"/>
        <w:rPr>
          <w:sz w:val="18"/>
          <w:szCs w:val="18"/>
        </w:rPr>
      </w:pPr>
      <w:r w:rsidRPr="00AA7E72">
        <w:rPr>
          <w:sz w:val="18"/>
          <w:szCs w:val="18"/>
        </w:rPr>
        <w:t>Климчук Людмила Александровна,</w:t>
      </w:r>
    </w:p>
    <w:p w14:paraId="6C8951A3" w14:textId="6B0DC519" w:rsidR="003423A1" w:rsidRPr="00AA7E72" w:rsidRDefault="00AA7E72" w:rsidP="00AA7E72">
      <w:pPr>
        <w:jc w:val="both"/>
        <w:rPr>
          <w:sz w:val="18"/>
          <w:szCs w:val="18"/>
        </w:rPr>
      </w:pPr>
      <w:r w:rsidRPr="00AA7E72">
        <w:rPr>
          <w:sz w:val="18"/>
          <w:szCs w:val="18"/>
        </w:rPr>
        <w:t>специалист-эксперт аппарата Думы</w:t>
      </w:r>
      <w:r w:rsidR="003423A1">
        <w:rPr>
          <w:sz w:val="18"/>
          <w:szCs w:val="18"/>
        </w:rPr>
        <w:t xml:space="preserve"> Нефтеюганского</w:t>
      </w:r>
      <w:r w:rsidRPr="00AA7E72">
        <w:rPr>
          <w:sz w:val="18"/>
          <w:szCs w:val="18"/>
        </w:rPr>
        <w:t xml:space="preserve"> района </w:t>
      </w:r>
    </w:p>
    <w:p w14:paraId="11ADD3A7" w14:textId="699705F6" w:rsidR="00AA7E72" w:rsidRDefault="00AA7E72" w:rsidP="00AA7E72">
      <w:pPr>
        <w:jc w:val="both"/>
        <w:rPr>
          <w:sz w:val="18"/>
          <w:szCs w:val="18"/>
        </w:rPr>
      </w:pPr>
      <w:r w:rsidRPr="00AA7E72">
        <w:rPr>
          <w:sz w:val="18"/>
          <w:szCs w:val="18"/>
        </w:rPr>
        <w:t xml:space="preserve">8(3463)250143, </w:t>
      </w:r>
      <w:hyperlink r:id="rId10" w:history="1">
        <w:r w:rsidRPr="00E119CC">
          <w:rPr>
            <w:rStyle w:val="aa"/>
            <w:sz w:val="18"/>
            <w:szCs w:val="18"/>
          </w:rPr>
          <w:t>klimchukla@admoil.ru</w:t>
        </w:r>
      </w:hyperlink>
      <w:r>
        <w:rPr>
          <w:sz w:val="18"/>
          <w:szCs w:val="18"/>
        </w:rPr>
        <w:t xml:space="preserve"> </w:t>
      </w:r>
    </w:p>
    <w:p w14:paraId="1D8EABE0" w14:textId="77777777" w:rsidR="003423A1" w:rsidRDefault="003423A1" w:rsidP="00AA7E72">
      <w:pPr>
        <w:shd w:val="clear" w:color="auto" w:fill="FFFFFF"/>
        <w:ind w:left="5670"/>
        <w:jc w:val="center"/>
        <w:rPr>
          <w:bCs/>
          <w:sz w:val="22"/>
          <w:szCs w:val="22"/>
        </w:rPr>
      </w:pPr>
    </w:p>
    <w:p w14:paraId="6873C935" w14:textId="77777777" w:rsidR="008836A0" w:rsidRDefault="008836A0" w:rsidP="00AA7E72">
      <w:pPr>
        <w:shd w:val="clear" w:color="auto" w:fill="FFFFFF"/>
        <w:ind w:left="5670"/>
        <w:jc w:val="center"/>
        <w:rPr>
          <w:bCs/>
          <w:sz w:val="22"/>
          <w:szCs w:val="22"/>
        </w:rPr>
      </w:pPr>
    </w:p>
    <w:p w14:paraId="002756B3" w14:textId="77777777" w:rsidR="008836A0" w:rsidRDefault="008836A0" w:rsidP="00AA7E72">
      <w:pPr>
        <w:shd w:val="clear" w:color="auto" w:fill="FFFFFF"/>
        <w:ind w:left="5670"/>
        <w:jc w:val="center"/>
        <w:rPr>
          <w:bCs/>
          <w:sz w:val="22"/>
          <w:szCs w:val="22"/>
        </w:rPr>
      </w:pPr>
    </w:p>
    <w:p w14:paraId="2BB48409" w14:textId="77777777" w:rsidR="008836A0" w:rsidRDefault="008836A0" w:rsidP="00AA7E72">
      <w:pPr>
        <w:shd w:val="clear" w:color="auto" w:fill="FFFFFF"/>
        <w:ind w:left="5670"/>
        <w:jc w:val="center"/>
        <w:rPr>
          <w:bCs/>
          <w:sz w:val="22"/>
          <w:szCs w:val="22"/>
        </w:rPr>
      </w:pPr>
    </w:p>
    <w:p w14:paraId="1B17CBD3" w14:textId="77777777" w:rsidR="008836A0" w:rsidRDefault="008836A0" w:rsidP="00AA7E72">
      <w:pPr>
        <w:shd w:val="clear" w:color="auto" w:fill="FFFFFF"/>
        <w:ind w:left="5670"/>
        <w:jc w:val="center"/>
        <w:rPr>
          <w:bCs/>
          <w:sz w:val="22"/>
          <w:szCs w:val="22"/>
        </w:rPr>
      </w:pPr>
    </w:p>
    <w:p w14:paraId="09274AD0" w14:textId="473A1A82" w:rsidR="00AA7E72" w:rsidRPr="00380F79" w:rsidRDefault="00AA7E72" w:rsidP="00AA7E72">
      <w:pPr>
        <w:shd w:val="clear" w:color="auto" w:fill="FFFFFF"/>
        <w:ind w:left="5670"/>
        <w:jc w:val="center"/>
        <w:rPr>
          <w:bCs/>
          <w:sz w:val="22"/>
          <w:szCs w:val="22"/>
        </w:rPr>
      </w:pPr>
      <w:r w:rsidRPr="00380F79">
        <w:rPr>
          <w:bCs/>
          <w:sz w:val="22"/>
          <w:szCs w:val="22"/>
        </w:rPr>
        <w:t>Приложение к письму</w:t>
      </w:r>
    </w:p>
    <w:p w14:paraId="436DC589" w14:textId="5061C5F6" w:rsidR="00AA7E72" w:rsidRDefault="00AA7E72" w:rsidP="00AA7E72">
      <w:pPr>
        <w:shd w:val="clear" w:color="auto" w:fill="FFFFFF"/>
        <w:ind w:left="5670"/>
        <w:jc w:val="center"/>
        <w:rPr>
          <w:bCs/>
          <w:sz w:val="22"/>
          <w:szCs w:val="22"/>
        </w:rPr>
      </w:pPr>
      <w:r w:rsidRPr="00380F79">
        <w:rPr>
          <w:bCs/>
          <w:sz w:val="22"/>
          <w:szCs w:val="22"/>
        </w:rPr>
        <w:t>от «</w:t>
      </w:r>
      <w:r>
        <w:rPr>
          <w:bCs/>
          <w:sz w:val="22"/>
          <w:szCs w:val="22"/>
          <w:u w:val="single"/>
        </w:rPr>
        <w:t xml:space="preserve"> </w:t>
      </w:r>
      <w:r w:rsidR="002B0C75">
        <w:rPr>
          <w:bCs/>
          <w:sz w:val="22"/>
          <w:szCs w:val="22"/>
          <w:u w:val="single"/>
        </w:rPr>
        <w:t>19</w:t>
      </w:r>
      <w:r>
        <w:rPr>
          <w:bCs/>
          <w:sz w:val="22"/>
          <w:szCs w:val="22"/>
          <w:u w:val="single"/>
        </w:rPr>
        <w:t xml:space="preserve"> </w:t>
      </w:r>
      <w:r w:rsidRPr="00380F79">
        <w:rPr>
          <w:bCs/>
          <w:sz w:val="22"/>
          <w:szCs w:val="22"/>
        </w:rPr>
        <w:t>»</w:t>
      </w:r>
      <w:r w:rsidRPr="00380F79">
        <w:rPr>
          <w:bCs/>
          <w:sz w:val="22"/>
          <w:szCs w:val="22"/>
          <w:u w:val="single"/>
        </w:rPr>
        <w:t xml:space="preserve"> </w:t>
      </w:r>
      <w:r w:rsidR="002B0C75">
        <w:rPr>
          <w:bCs/>
          <w:sz w:val="22"/>
          <w:szCs w:val="22"/>
          <w:u w:val="single"/>
        </w:rPr>
        <w:t>августа</w:t>
      </w:r>
      <w:r>
        <w:rPr>
          <w:bCs/>
          <w:sz w:val="22"/>
          <w:szCs w:val="22"/>
          <w:u w:val="single"/>
        </w:rPr>
        <w:t xml:space="preserve">  </w:t>
      </w:r>
      <w:r w:rsidRPr="00380F79">
        <w:rPr>
          <w:bCs/>
          <w:sz w:val="22"/>
          <w:szCs w:val="22"/>
          <w:u w:val="single"/>
        </w:rPr>
        <w:t xml:space="preserve"> </w:t>
      </w:r>
      <w:r w:rsidRPr="00380F79">
        <w:rPr>
          <w:bCs/>
          <w:sz w:val="22"/>
          <w:szCs w:val="22"/>
        </w:rPr>
        <w:t>202</w:t>
      </w:r>
      <w:r>
        <w:rPr>
          <w:bCs/>
          <w:sz w:val="22"/>
          <w:szCs w:val="22"/>
        </w:rPr>
        <w:t>4</w:t>
      </w:r>
      <w:r w:rsidRPr="00380F79">
        <w:rPr>
          <w:bCs/>
          <w:sz w:val="22"/>
          <w:szCs w:val="22"/>
        </w:rPr>
        <w:t xml:space="preserve"> года</w:t>
      </w:r>
    </w:p>
    <w:p w14:paraId="653FE68B" w14:textId="1F0A46F4" w:rsidR="00AA7E72" w:rsidRPr="00380F79" w:rsidRDefault="00AA7E72" w:rsidP="00AA7E72">
      <w:pPr>
        <w:shd w:val="clear" w:color="auto" w:fill="FFFFFF"/>
        <w:ind w:left="5670"/>
        <w:jc w:val="center"/>
        <w:rPr>
          <w:bCs/>
          <w:sz w:val="22"/>
          <w:szCs w:val="22"/>
          <w:u w:val="single"/>
        </w:rPr>
      </w:pPr>
      <w:r w:rsidRPr="00380F79">
        <w:rPr>
          <w:bCs/>
          <w:sz w:val="22"/>
          <w:szCs w:val="22"/>
        </w:rPr>
        <w:t>№</w:t>
      </w:r>
      <w:r w:rsidRPr="00380F79">
        <w:rPr>
          <w:bCs/>
          <w:sz w:val="22"/>
          <w:szCs w:val="22"/>
          <w:u w:val="single"/>
        </w:rPr>
        <w:t xml:space="preserve"> 16-исх</w:t>
      </w:r>
      <w:r w:rsidR="002B0C75">
        <w:rPr>
          <w:bCs/>
          <w:sz w:val="22"/>
          <w:szCs w:val="22"/>
          <w:u w:val="single"/>
        </w:rPr>
        <w:t>-295</w:t>
      </w:r>
      <w:r>
        <w:rPr>
          <w:bCs/>
          <w:sz w:val="22"/>
          <w:szCs w:val="22"/>
          <w:u w:val="single"/>
        </w:rPr>
        <w:t xml:space="preserve">   </w:t>
      </w:r>
      <w:r w:rsidRPr="00C8015E">
        <w:rPr>
          <w:bCs/>
          <w:color w:val="FFFFFF"/>
          <w:sz w:val="22"/>
          <w:szCs w:val="22"/>
          <w:u w:val="single"/>
        </w:rPr>
        <w:t>.</w:t>
      </w:r>
    </w:p>
    <w:p w14:paraId="5F7C512A" w14:textId="77777777" w:rsidR="00AA7E72" w:rsidRDefault="00AA7E72" w:rsidP="00AA7E72">
      <w:pPr>
        <w:shd w:val="clear" w:color="auto" w:fill="FFFFFF"/>
        <w:ind w:firstLine="709"/>
        <w:jc w:val="center"/>
        <w:rPr>
          <w:bCs/>
          <w:sz w:val="26"/>
          <w:szCs w:val="26"/>
        </w:rPr>
      </w:pPr>
    </w:p>
    <w:p w14:paraId="3F429CF6" w14:textId="77777777" w:rsidR="00AA7E72" w:rsidRDefault="00AA7E72" w:rsidP="00AA7E72">
      <w:pPr>
        <w:shd w:val="clear" w:color="auto" w:fill="FFFFFF"/>
        <w:ind w:firstLine="709"/>
        <w:jc w:val="center"/>
        <w:rPr>
          <w:bCs/>
          <w:sz w:val="26"/>
          <w:szCs w:val="26"/>
        </w:rPr>
      </w:pPr>
    </w:p>
    <w:p w14:paraId="798C6800" w14:textId="768321B9" w:rsidR="00AA7E72" w:rsidRPr="00A31C92" w:rsidRDefault="00AA7E72" w:rsidP="00AA7E72">
      <w:pPr>
        <w:shd w:val="clear" w:color="auto" w:fill="FFFFFF"/>
        <w:ind w:firstLine="709"/>
        <w:jc w:val="center"/>
        <w:rPr>
          <w:bCs/>
          <w:sz w:val="26"/>
          <w:szCs w:val="26"/>
        </w:rPr>
      </w:pPr>
      <w:r>
        <w:rPr>
          <w:bCs/>
          <w:sz w:val="26"/>
          <w:szCs w:val="26"/>
        </w:rPr>
        <w:t>И</w:t>
      </w:r>
      <w:r w:rsidRPr="00A31C92">
        <w:rPr>
          <w:bCs/>
          <w:sz w:val="26"/>
          <w:szCs w:val="26"/>
        </w:rPr>
        <w:t>нформаци</w:t>
      </w:r>
      <w:r>
        <w:rPr>
          <w:bCs/>
          <w:sz w:val="26"/>
          <w:szCs w:val="26"/>
        </w:rPr>
        <w:t>я</w:t>
      </w:r>
      <w:r w:rsidRPr="00A31C92">
        <w:rPr>
          <w:bCs/>
          <w:sz w:val="26"/>
          <w:szCs w:val="26"/>
        </w:rPr>
        <w:t xml:space="preserve"> о выполнении решения </w:t>
      </w:r>
      <w:r>
        <w:rPr>
          <w:bCs/>
          <w:sz w:val="26"/>
          <w:szCs w:val="26"/>
        </w:rPr>
        <w:t xml:space="preserve">двадцать </w:t>
      </w:r>
      <w:r w:rsidR="00E66567">
        <w:rPr>
          <w:bCs/>
          <w:sz w:val="26"/>
          <w:szCs w:val="26"/>
        </w:rPr>
        <w:t>пятого</w:t>
      </w:r>
      <w:r w:rsidRPr="00A31C92">
        <w:rPr>
          <w:bCs/>
          <w:sz w:val="26"/>
          <w:szCs w:val="26"/>
        </w:rPr>
        <w:t xml:space="preserve"> заседания Координационного совета органов местного самоуправления Ханты-Мансийского автономного округа – Югры и Думы Ханты-Мансийского автономного округа – Югры (далее – решения)</w:t>
      </w:r>
    </w:p>
    <w:p w14:paraId="1A7EB1A7" w14:textId="77777777" w:rsidR="00AA7E72" w:rsidRPr="00A31C92" w:rsidRDefault="00AA7E72" w:rsidP="00AA7E72">
      <w:pPr>
        <w:autoSpaceDE w:val="0"/>
        <w:autoSpaceDN w:val="0"/>
        <w:adjustRightInd w:val="0"/>
        <w:ind w:firstLine="709"/>
        <w:jc w:val="both"/>
        <w:outlineLvl w:val="2"/>
        <w:rPr>
          <w:bCs/>
          <w:sz w:val="26"/>
          <w:szCs w:val="26"/>
        </w:rPr>
      </w:pPr>
    </w:p>
    <w:p w14:paraId="255E3480" w14:textId="3729C803" w:rsidR="003423A1" w:rsidRDefault="003423A1" w:rsidP="003423A1">
      <w:pPr>
        <w:ind w:firstLine="708"/>
        <w:jc w:val="both"/>
        <w:rPr>
          <w:sz w:val="26"/>
          <w:szCs w:val="26"/>
        </w:rPr>
      </w:pPr>
      <w:r>
        <w:rPr>
          <w:sz w:val="26"/>
          <w:szCs w:val="26"/>
        </w:rPr>
        <w:t xml:space="preserve">По </w:t>
      </w:r>
      <w:r w:rsidR="00E66567">
        <w:rPr>
          <w:sz w:val="26"/>
          <w:szCs w:val="26"/>
        </w:rPr>
        <w:t>пункту</w:t>
      </w:r>
      <w:r>
        <w:rPr>
          <w:sz w:val="26"/>
          <w:szCs w:val="26"/>
        </w:rPr>
        <w:t xml:space="preserve"> </w:t>
      </w:r>
      <w:r w:rsidR="00E66567">
        <w:rPr>
          <w:sz w:val="26"/>
          <w:szCs w:val="26"/>
        </w:rPr>
        <w:t>2</w:t>
      </w:r>
      <w:r w:rsidR="002F181F">
        <w:rPr>
          <w:sz w:val="26"/>
          <w:szCs w:val="26"/>
        </w:rPr>
        <w:t xml:space="preserve"> решения:</w:t>
      </w:r>
    </w:p>
    <w:p w14:paraId="6321E9D3" w14:textId="77777777" w:rsidR="00E66567" w:rsidRDefault="00E66567" w:rsidP="003423A1">
      <w:pPr>
        <w:ind w:firstLine="708"/>
        <w:jc w:val="both"/>
        <w:rPr>
          <w:sz w:val="26"/>
          <w:szCs w:val="26"/>
        </w:rPr>
      </w:pPr>
      <w:r w:rsidRPr="00E66567">
        <w:rPr>
          <w:sz w:val="26"/>
          <w:szCs w:val="26"/>
        </w:rPr>
        <w:t>В Нефтеюганском районе осуществляется комплекс мероприятий, направленных на улучшение жилищных условий граждан, проживающих на территории Нефтеюганского района. Все поставленные цели и задачи успешно реализуются. Однако опыт работы Белоярского района проанализирован, принят к сведению и при необходимости будет учтен в работе.</w:t>
      </w:r>
    </w:p>
    <w:p w14:paraId="36D217CB" w14:textId="77777777" w:rsidR="002F181F" w:rsidRDefault="002F181F" w:rsidP="003423A1">
      <w:pPr>
        <w:ind w:firstLine="708"/>
        <w:jc w:val="both"/>
        <w:rPr>
          <w:sz w:val="26"/>
          <w:szCs w:val="26"/>
        </w:rPr>
      </w:pPr>
    </w:p>
    <w:p w14:paraId="6533A3B1" w14:textId="73ADD3C6" w:rsidR="003423A1" w:rsidRDefault="003423A1" w:rsidP="003423A1">
      <w:pPr>
        <w:ind w:firstLine="708"/>
        <w:jc w:val="both"/>
        <w:rPr>
          <w:sz w:val="26"/>
          <w:szCs w:val="26"/>
        </w:rPr>
      </w:pPr>
      <w:r>
        <w:rPr>
          <w:sz w:val="26"/>
          <w:szCs w:val="26"/>
        </w:rPr>
        <w:t>По пункт</w:t>
      </w:r>
      <w:r w:rsidR="00E66567">
        <w:rPr>
          <w:sz w:val="26"/>
          <w:szCs w:val="26"/>
        </w:rPr>
        <w:t>у</w:t>
      </w:r>
      <w:r>
        <w:rPr>
          <w:sz w:val="26"/>
          <w:szCs w:val="26"/>
        </w:rPr>
        <w:t xml:space="preserve"> </w:t>
      </w:r>
      <w:r w:rsidR="00E66567">
        <w:rPr>
          <w:sz w:val="26"/>
          <w:szCs w:val="26"/>
        </w:rPr>
        <w:t>3</w:t>
      </w:r>
      <w:r w:rsidR="002F181F">
        <w:rPr>
          <w:sz w:val="26"/>
          <w:szCs w:val="26"/>
        </w:rPr>
        <w:t xml:space="preserve"> решения:</w:t>
      </w:r>
      <w:r>
        <w:rPr>
          <w:sz w:val="26"/>
          <w:szCs w:val="26"/>
        </w:rPr>
        <w:t xml:space="preserve"> </w:t>
      </w:r>
    </w:p>
    <w:p w14:paraId="1DB24E5D" w14:textId="0D9D2D08" w:rsidR="002F181F" w:rsidRDefault="002F181F" w:rsidP="003423A1">
      <w:pPr>
        <w:ind w:firstLine="708"/>
        <w:jc w:val="both"/>
        <w:rPr>
          <w:sz w:val="26"/>
          <w:szCs w:val="26"/>
        </w:rPr>
      </w:pPr>
      <w:r>
        <w:rPr>
          <w:sz w:val="26"/>
          <w:szCs w:val="26"/>
        </w:rPr>
        <w:t xml:space="preserve">В </w:t>
      </w:r>
      <w:r w:rsidRPr="002F181F">
        <w:rPr>
          <w:sz w:val="26"/>
          <w:szCs w:val="26"/>
        </w:rPr>
        <w:t>Нефтеюганск</w:t>
      </w:r>
      <w:r>
        <w:rPr>
          <w:sz w:val="26"/>
          <w:szCs w:val="26"/>
        </w:rPr>
        <w:t>ом</w:t>
      </w:r>
      <w:r w:rsidRPr="002F181F">
        <w:rPr>
          <w:sz w:val="26"/>
          <w:szCs w:val="26"/>
        </w:rPr>
        <w:t xml:space="preserve"> район</w:t>
      </w:r>
      <w:r>
        <w:rPr>
          <w:sz w:val="26"/>
          <w:szCs w:val="26"/>
        </w:rPr>
        <w:t>е</w:t>
      </w:r>
      <w:r w:rsidRPr="002F181F">
        <w:rPr>
          <w:sz w:val="26"/>
          <w:szCs w:val="26"/>
        </w:rPr>
        <w:t xml:space="preserve"> утверждены нормативные правовые акты, предусматривающие мену жилых помещений граждан, являющихся инвалидами - колясочниками 1, 2 группы, в том числе дети-инвалиды, а также наличия в составе семьи собственника инвалида - колясочника 1, 2 группы, в том числе детей-инвалидов при  наличии 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 соответствии с постановлением Правительства РФ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14:paraId="106B5B6B" w14:textId="77777777" w:rsidR="002F181F" w:rsidRDefault="002F181F" w:rsidP="003423A1">
      <w:pPr>
        <w:ind w:firstLine="708"/>
        <w:jc w:val="both"/>
        <w:rPr>
          <w:sz w:val="26"/>
          <w:szCs w:val="26"/>
        </w:rPr>
      </w:pPr>
    </w:p>
    <w:p w14:paraId="4D9AE897" w14:textId="417588B5" w:rsidR="003423A1" w:rsidRDefault="003423A1" w:rsidP="003423A1">
      <w:pPr>
        <w:ind w:firstLine="708"/>
        <w:jc w:val="both"/>
        <w:rPr>
          <w:sz w:val="26"/>
          <w:szCs w:val="26"/>
        </w:rPr>
      </w:pPr>
      <w:r>
        <w:rPr>
          <w:sz w:val="26"/>
          <w:szCs w:val="26"/>
        </w:rPr>
        <w:t xml:space="preserve">По </w:t>
      </w:r>
      <w:r w:rsidR="002F181F">
        <w:rPr>
          <w:sz w:val="26"/>
          <w:szCs w:val="26"/>
        </w:rPr>
        <w:t>пункту 4 решения:</w:t>
      </w:r>
    </w:p>
    <w:p w14:paraId="5FEF2957" w14:textId="77777777" w:rsidR="002F181F" w:rsidRPr="002F181F" w:rsidRDefault="002F181F" w:rsidP="002F181F">
      <w:pPr>
        <w:ind w:firstLine="708"/>
        <w:jc w:val="both"/>
        <w:rPr>
          <w:sz w:val="26"/>
          <w:szCs w:val="26"/>
        </w:rPr>
      </w:pPr>
      <w:r w:rsidRPr="002F181F">
        <w:rPr>
          <w:sz w:val="26"/>
          <w:szCs w:val="26"/>
        </w:rPr>
        <w:t>Управлением по связям с общественностью администрации Нефтеюганского района рассмотрен опыт работы по поддержке и развитию институтов гражданского общества в городском округе Урай.</w:t>
      </w:r>
    </w:p>
    <w:p w14:paraId="7511E284" w14:textId="77777777" w:rsidR="002F181F" w:rsidRPr="002F181F" w:rsidRDefault="002F181F" w:rsidP="002F181F">
      <w:pPr>
        <w:ind w:firstLine="708"/>
        <w:jc w:val="both"/>
        <w:rPr>
          <w:sz w:val="26"/>
          <w:szCs w:val="26"/>
        </w:rPr>
      </w:pPr>
      <w:r w:rsidRPr="002F181F">
        <w:rPr>
          <w:sz w:val="26"/>
          <w:szCs w:val="26"/>
        </w:rPr>
        <w:t>Дополнительно сообщаем, что в Нефтеюганском районе осуществляют деятельность 40 социально ориентированных некоммерческих организаций (далее – СОНКО): благотворительные фонды, ветеранские, религиозные, национальные, общественные организации, казачьи общества (в 2023 году – 36 СОНКО). В рамках муниципальной программы «Развитие гражданского общества», утвержденной постановлением администрации Нефтеюганского района от 31.10.2022 № 2062-па-нпа, СОНКО предоставляется субсидия на реализацию социально значимых проектов. В 2024 году общественниками реализуются 15 проектов, направленных на социальную поддержку и духовное развитие граждан, патриотическое воспитание населения, поддержание межнационального мира и согласия, пропаганду здорового образа жизни, защиту животных. На эти цели из местного бюджета выделено 2 600 тыс. рублей (в 2023 году – 5 400 тыс. рублей). Мероприятиями СОНКО запланировано охватить 5 685 жителей района (в 2023 году – 8 000 человек).</w:t>
      </w:r>
    </w:p>
    <w:p w14:paraId="4A2BE215" w14:textId="77777777" w:rsidR="002F181F" w:rsidRPr="002F181F" w:rsidRDefault="002F181F" w:rsidP="002F181F">
      <w:pPr>
        <w:ind w:firstLine="708"/>
        <w:jc w:val="both"/>
        <w:rPr>
          <w:sz w:val="26"/>
          <w:szCs w:val="26"/>
        </w:rPr>
      </w:pPr>
      <w:r w:rsidRPr="002F181F">
        <w:rPr>
          <w:sz w:val="26"/>
          <w:szCs w:val="26"/>
        </w:rPr>
        <w:t xml:space="preserve">Некоммерческие организации принимают участие в федеральных и окружных грантовых кампаниях. На отчетную дату подведены итоги конкурса на гранты </w:t>
      </w:r>
      <w:r w:rsidRPr="002F181F">
        <w:rPr>
          <w:sz w:val="26"/>
          <w:szCs w:val="26"/>
        </w:rPr>
        <w:lastRenderedPageBreak/>
        <w:t>Президента Российской Федерации – в числе победителей две инициативы Нефтеюганского района на общую сумму 880 175 рублей. К сведению, в 2023 году СОНКО привлекли в муниципалитет почти 7 250 тыс. рублей.</w:t>
      </w:r>
    </w:p>
    <w:p w14:paraId="108D0A7C" w14:textId="77777777" w:rsidR="002F181F" w:rsidRPr="002F181F" w:rsidRDefault="002F181F" w:rsidP="002F181F">
      <w:pPr>
        <w:ind w:firstLine="708"/>
        <w:jc w:val="both"/>
        <w:rPr>
          <w:sz w:val="26"/>
          <w:szCs w:val="26"/>
        </w:rPr>
      </w:pPr>
      <w:r w:rsidRPr="002F181F">
        <w:rPr>
          <w:sz w:val="26"/>
          <w:szCs w:val="26"/>
        </w:rPr>
        <w:t>Нефтеюганский район среди муниципальных районов занял третье место в рейтинге муниципальных образований Ханты-Мансийского автономного округа – Югры по реализации механизмов поддержки негосударственных организаций в 2023 году (в 2022 году – 5 место). На высокий показатель повлияла, в том числе успешная работа по поддержке некоммерческого сектора, достижения представителей социально ориентированных НКО.</w:t>
      </w:r>
    </w:p>
    <w:p w14:paraId="0DD7FC22" w14:textId="77777777" w:rsidR="002F181F" w:rsidRPr="002F181F" w:rsidRDefault="002F181F" w:rsidP="002F181F">
      <w:pPr>
        <w:ind w:firstLine="708"/>
        <w:jc w:val="both"/>
        <w:rPr>
          <w:sz w:val="26"/>
          <w:szCs w:val="26"/>
        </w:rPr>
      </w:pPr>
      <w:r w:rsidRPr="002F181F">
        <w:rPr>
          <w:sz w:val="26"/>
          <w:szCs w:val="26"/>
        </w:rPr>
        <w:t xml:space="preserve">На основании распоряжения администрации Нефтеюганского района от 27.07.2021 № 447-ра «О создании муниципального автономного учреждения Нефтеюганского района «Комплексный молодежный центр «Перспектива» функционирует Муниципальное автономное учреждение Нефтеюганского района «Комплексный молодежный центр «Перспектива». Учредителем является администрация Нефтеюганского района. На базе центра осуществляет деятельность многопрофильный ресурсный центр по развитию социально ориентированных некоммерческих организаций, добровольческих (волонтерских) объединений, креативных сообществ, инициативных проектов, который в 2022 году прошел сертификацию в Ханты-Мансийском автономном округе – Югре. В 2024 году Автономная некоммерческая организация «Центр инициатив «Добрый дом» проходит обязательную сертификацию в рамках гранта губернатора Югры для ресурсных центров. </w:t>
      </w:r>
    </w:p>
    <w:p w14:paraId="31F069F6" w14:textId="77777777" w:rsidR="002F181F" w:rsidRPr="002F181F" w:rsidRDefault="002F181F" w:rsidP="002F181F">
      <w:pPr>
        <w:ind w:firstLine="708"/>
        <w:jc w:val="both"/>
        <w:rPr>
          <w:sz w:val="26"/>
          <w:szCs w:val="26"/>
        </w:rPr>
      </w:pPr>
      <w:r w:rsidRPr="002F181F">
        <w:rPr>
          <w:sz w:val="26"/>
          <w:szCs w:val="26"/>
        </w:rPr>
        <w:t>Некоммерческим организациям также оказывается имущественная, информационная, консультационная поддержка. В 2024 году на безвозмездной основе 4 СОНКО предоставлены в пользование помещения, находящиеся в муниципальной собственности. В рамках информационной поддержки предоставлялась бесплатная печатная площадь в муниципальной газете «Югорское обозрение» – на отчетную дату опубликовано 14 материалов о реализации социально значимых проектов. С начала 2024 года СОНКО оказано 42 консультационных поддержки по различным вопросам.</w:t>
      </w:r>
    </w:p>
    <w:p w14:paraId="6F1DD263" w14:textId="77777777" w:rsidR="002F181F" w:rsidRPr="002F181F" w:rsidRDefault="002F181F" w:rsidP="002F181F">
      <w:pPr>
        <w:ind w:firstLine="708"/>
        <w:jc w:val="both"/>
        <w:rPr>
          <w:sz w:val="26"/>
          <w:szCs w:val="26"/>
        </w:rPr>
      </w:pPr>
      <w:r w:rsidRPr="002F181F">
        <w:rPr>
          <w:sz w:val="26"/>
          <w:szCs w:val="26"/>
        </w:rPr>
        <w:t>В Нефтеюганском районе действует Общественный совет Нефтеюганского района, в его составе 22 человека. В первом полугодии 2024 года деятельность Общественного совета проводилась в соответствии с утвержденным Планом работы: проведено три заседания, рассмотрено 17 вопросов, в том числе касающиеся реализации региональных проектов, входящих в состав национальных проектов Российской Федерации, реализуемых в Нефтеюганском районе, анализа информации о результатах работы по рассмотрению обращений (сообщений) граждан по фактам коррупционных проявлений, об ответственном обращении с животными.</w:t>
      </w:r>
    </w:p>
    <w:p w14:paraId="661D1FDE" w14:textId="77777777" w:rsidR="002F181F" w:rsidRPr="002F181F" w:rsidRDefault="002F181F" w:rsidP="002F181F">
      <w:pPr>
        <w:ind w:firstLine="708"/>
        <w:jc w:val="both"/>
        <w:rPr>
          <w:sz w:val="26"/>
          <w:szCs w:val="26"/>
        </w:rPr>
      </w:pPr>
      <w:r w:rsidRPr="002F181F">
        <w:rPr>
          <w:sz w:val="26"/>
          <w:szCs w:val="26"/>
        </w:rPr>
        <w:t>По состоянию на первое полугодие 2024 года на территории Нефтеюганского района зарегистрированы и осуществляют деятельность 19 ТОС без статуса юридического лица (17 ТОС на территории гп. Пойковский, 2 ТОС на территории сп. Сингапай).</w:t>
      </w:r>
    </w:p>
    <w:p w14:paraId="065C63E4" w14:textId="77777777" w:rsidR="002F181F" w:rsidRPr="002F181F" w:rsidRDefault="002F181F" w:rsidP="002F181F">
      <w:pPr>
        <w:ind w:firstLine="708"/>
        <w:jc w:val="both"/>
        <w:rPr>
          <w:sz w:val="26"/>
          <w:szCs w:val="26"/>
        </w:rPr>
      </w:pPr>
      <w:r w:rsidRPr="002F181F">
        <w:rPr>
          <w:sz w:val="26"/>
          <w:szCs w:val="26"/>
        </w:rPr>
        <w:t>Возможность проявить себя ТОС предоставляется в рамках реализации проектов инициативного бюджетирования. В 2023 году ТОС «Партнеры» гп. Пойковский реализован проект «Генератор эНеРгии». В 2024 году денежные средства потрачены на благоустройство спортивной площадки по ул. Геологов, дом 31.</w:t>
      </w:r>
    </w:p>
    <w:p w14:paraId="2170C5F2" w14:textId="77777777" w:rsidR="002F181F" w:rsidRPr="002F181F" w:rsidRDefault="002F181F" w:rsidP="002F181F">
      <w:pPr>
        <w:ind w:firstLine="708"/>
        <w:jc w:val="both"/>
        <w:rPr>
          <w:sz w:val="26"/>
          <w:szCs w:val="26"/>
        </w:rPr>
      </w:pPr>
      <w:r w:rsidRPr="002F181F">
        <w:rPr>
          <w:sz w:val="26"/>
          <w:szCs w:val="26"/>
        </w:rPr>
        <w:t xml:space="preserve">Со стороны органов местного самоуправления оказываются разнообразные формы поддержки ТОС: консультативная, методическая помощь, обеспечивается участие в семинарах, вебинарах, мастер-классах. Получение консультаций по вопросам участия в региональных и федеральных программах поддержки инициатив населения, а также проведения практикумов по подготовке социальных проектов (заполнение и </w:t>
      </w:r>
      <w:r w:rsidRPr="002F181F">
        <w:rPr>
          <w:sz w:val="26"/>
          <w:szCs w:val="26"/>
        </w:rPr>
        <w:lastRenderedPageBreak/>
        <w:t>подача заявок на конкурсы грантовой поддержки, содействие в реализации проектов) представляется МАУ НР «КМЦ «Перспектива».</w:t>
      </w:r>
    </w:p>
    <w:p w14:paraId="7E669D84" w14:textId="6850C179" w:rsidR="002F181F" w:rsidRPr="002F181F" w:rsidRDefault="002F181F" w:rsidP="002F181F">
      <w:pPr>
        <w:ind w:firstLine="708"/>
        <w:jc w:val="both"/>
        <w:rPr>
          <w:sz w:val="26"/>
          <w:szCs w:val="26"/>
        </w:rPr>
      </w:pPr>
      <w:r w:rsidRPr="002F181F">
        <w:rPr>
          <w:sz w:val="26"/>
          <w:szCs w:val="26"/>
        </w:rPr>
        <w:t>В 2024 году для представителей ТОС и специалистов администраций поселений Общенациональной ассоциацией территориального общественного самоуправления продолжена практика бесплатных вебинаров по вопросам деятельности ТОС в рамках информационно-просветительского проекта «Доступно – Полезно – Открыто». За первое полугодие 2024 года прослушано 4 вебинара.</w:t>
      </w:r>
    </w:p>
    <w:p w14:paraId="6A8AA2FE" w14:textId="639BDDE3" w:rsidR="002F181F" w:rsidRDefault="002F181F" w:rsidP="003423A1">
      <w:pPr>
        <w:ind w:firstLine="708"/>
        <w:jc w:val="both"/>
        <w:rPr>
          <w:sz w:val="26"/>
          <w:szCs w:val="26"/>
        </w:rPr>
      </w:pPr>
    </w:p>
    <w:p w14:paraId="6D9C31B7" w14:textId="65E845A1" w:rsidR="002F181F" w:rsidRDefault="002F181F" w:rsidP="003423A1">
      <w:pPr>
        <w:ind w:firstLine="708"/>
        <w:jc w:val="both"/>
        <w:rPr>
          <w:sz w:val="26"/>
          <w:szCs w:val="26"/>
        </w:rPr>
      </w:pPr>
      <w:r>
        <w:rPr>
          <w:sz w:val="26"/>
          <w:szCs w:val="26"/>
        </w:rPr>
        <w:t>По пункту 5 решения:</w:t>
      </w:r>
    </w:p>
    <w:p w14:paraId="4164325B" w14:textId="2849AFE6" w:rsidR="002F181F" w:rsidRPr="002F181F" w:rsidRDefault="002F181F" w:rsidP="002F181F">
      <w:pPr>
        <w:ind w:firstLine="708"/>
        <w:jc w:val="both"/>
        <w:rPr>
          <w:sz w:val="26"/>
          <w:szCs w:val="26"/>
        </w:rPr>
      </w:pPr>
      <w:r w:rsidRPr="002F181F">
        <w:rPr>
          <w:sz w:val="26"/>
          <w:szCs w:val="26"/>
        </w:rPr>
        <w:t>В адрес АО «Югра Экология» направлено 7 писем об актуализации сведений в системе АСУ «Управление отходами» об источниках образования отходов в поселениях Нефтеюганского района (от 15.05.2024 № 28-исх-581, № 28-исх-575, № 28-исх-576; от 28.05.202 № 28-исх-655, № 28-исх-656; от 29.25.2024 № 28-исх-662, от 28.06.2024 № 28-исх-829). Информация в системе АСУ «Управление отходами» частично откорректирована в части исключения «задвоенных», «затроенных» площадок, исключения демонтированных площадок.</w:t>
      </w:r>
    </w:p>
    <w:p w14:paraId="331DC6C3" w14:textId="7D1B400E" w:rsidR="002F181F" w:rsidRDefault="002F181F" w:rsidP="002F181F">
      <w:pPr>
        <w:ind w:firstLine="708"/>
        <w:jc w:val="both"/>
        <w:rPr>
          <w:sz w:val="26"/>
          <w:szCs w:val="26"/>
        </w:rPr>
      </w:pPr>
      <w:r w:rsidRPr="002F181F">
        <w:rPr>
          <w:sz w:val="26"/>
          <w:szCs w:val="26"/>
        </w:rPr>
        <w:t>В целях повышения экологической культуры среди населения на территории Нефтеюганского района в рамках Международной экологической акции «Спасти и сохранить» проводятся природоохранные и эколого-просветительские мероприятия: очистка береговых линий, экоуроки, форумы, викторины, творческие конкурсы, субботники, благоустройство, озеленение.</w:t>
      </w:r>
    </w:p>
    <w:p w14:paraId="67E17DFE" w14:textId="50AB5C2E" w:rsidR="002F181F" w:rsidRDefault="002F181F" w:rsidP="003423A1">
      <w:pPr>
        <w:ind w:firstLine="708"/>
        <w:jc w:val="both"/>
        <w:rPr>
          <w:sz w:val="26"/>
          <w:szCs w:val="26"/>
        </w:rPr>
      </w:pPr>
    </w:p>
    <w:p w14:paraId="58FC218F" w14:textId="28BA583A" w:rsidR="002F181F" w:rsidRDefault="002F181F" w:rsidP="003423A1">
      <w:pPr>
        <w:ind w:firstLine="708"/>
        <w:jc w:val="both"/>
        <w:rPr>
          <w:sz w:val="26"/>
          <w:szCs w:val="26"/>
        </w:rPr>
      </w:pPr>
      <w:r>
        <w:rPr>
          <w:sz w:val="26"/>
          <w:szCs w:val="26"/>
        </w:rPr>
        <w:t xml:space="preserve">По пункту 6 </w:t>
      </w:r>
      <w:r w:rsidR="002A318C">
        <w:rPr>
          <w:sz w:val="26"/>
          <w:szCs w:val="26"/>
        </w:rPr>
        <w:t>решения:</w:t>
      </w:r>
    </w:p>
    <w:p w14:paraId="3EAD73D8" w14:textId="1A7DE6E0" w:rsidR="002F181F" w:rsidRPr="002F181F" w:rsidRDefault="002F181F" w:rsidP="002F181F">
      <w:pPr>
        <w:ind w:firstLine="708"/>
        <w:jc w:val="both"/>
        <w:rPr>
          <w:sz w:val="26"/>
          <w:szCs w:val="26"/>
        </w:rPr>
      </w:pPr>
      <w:r>
        <w:rPr>
          <w:sz w:val="26"/>
          <w:szCs w:val="26"/>
        </w:rPr>
        <w:t>Ю</w:t>
      </w:r>
      <w:r w:rsidRPr="002F181F">
        <w:rPr>
          <w:sz w:val="26"/>
          <w:szCs w:val="26"/>
        </w:rPr>
        <w:t>ридическим комитетом администрации Нефтеюганского района был проведен мониторинг федеральных, региональных нормативных правовых актов, устанавливающих размер, условия и порядок компенсации расходов на оплату стоимости проезда и провоза багажа к месту использования отпуска и обратно.</w:t>
      </w:r>
    </w:p>
    <w:p w14:paraId="1F42048F" w14:textId="5192C7D9" w:rsidR="002F181F" w:rsidRPr="002F181F" w:rsidRDefault="002F181F" w:rsidP="002F181F">
      <w:pPr>
        <w:ind w:firstLine="708"/>
        <w:jc w:val="both"/>
        <w:rPr>
          <w:sz w:val="26"/>
          <w:szCs w:val="26"/>
        </w:rPr>
      </w:pPr>
      <w:r w:rsidRPr="002F181F">
        <w:rPr>
          <w:sz w:val="26"/>
          <w:szCs w:val="26"/>
        </w:rPr>
        <w:t xml:space="preserve">По результатам данного мониторинга установлено, что решение Думы Нефтеюганского района от 10.02.2016 № 689 «Об утверждении Положения о гарантиях и компенсациях для лиц, проживающих в Ханты-Мансийском автономном округе </w:t>
      </w:r>
      <w:r w:rsidR="008836A0">
        <w:rPr>
          <w:sz w:val="26"/>
          <w:szCs w:val="26"/>
        </w:rPr>
        <w:t>–</w:t>
      </w:r>
      <w:r w:rsidRPr="002F181F">
        <w:rPr>
          <w:sz w:val="26"/>
          <w:szCs w:val="26"/>
        </w:rPr>
        <w:t xml:space="preserve"> Югре, работающих в органах местного самоуправления и муниципальных учреждениях Нефтеюганского района» (с изменениями от 19.06.2024 № 1052), которое определяет размер, условия и порядок компенсации расходов на оплату стоимости проезда и провоза багажа к месту использования отпуска и обратно для лиц, проживающих в Ханты-Мансийском автономном округе </w:t>
      </w:r>
      <w:r w:rsidR="008836A0">
        <w:rPr>
          <w:sz w:val="26"/>
          <w:szCs w:val="26"/>
        </w:rPr>
        <w:t>–</w:t>
      </w:r>
      <w:r w:rsidRPr="002F181F">
        <w:rPr>
          <w:sz w:val="26"/>
          <w:szCs w:val="26"/>
        </w:rPr>
        <w:t xml:space="preserve"> Югре, работающих в органах местного самоуправления и муниципальных учреждениях Нефтеюганского района, соответствует действующим в Российской Федерации и Ханты-Мансийском автономном округе – Югре нормативным правовым актам в данной области, в частности: </w:t>
      </w:r>
    </w:p>
    <w:p w14:paraId="42B59952" w14:textId="77777777" w:rsidR="002F181F" w:rsidRPr="002F181F" w:rsidRDefault="002F181F" w:rsidP="002F181F">
      <w:pPr>
        <w:ind w:firstLine="708"/>
        <w:jc w:val="both"/>
        <w:rPr>
          <w:sz w:val="26"/>
          <w:szCs w:val="26"/>
        </w:rPr>
      </w:pPr>
      <w:r w:rsidRPr="002F181F">
        <w:rPr>
          <w:sz w:val="26"/>
          <w:szCs w:val="26"/>
        </w:rPr>
        <w:t>- Трудовому кодексу Российской Федерации;</w:t>
      </w:r>
    </w:p>
    <w:p w14:paraId="4BC7C18B" w14:textId="77777777" w:rsidR="002F181F" w:rsidRPr="002F181F" w:rsidRDefault="002F181F" w:rsidP="002F181F">
      <w:pPr>
        <w:ind w:firstLine="708"/>
        <w:jc w:val="both"/>
        <w:rPr>
          <w:sz w:val="26"/>
          <w:szCs w:val="26"/>
        </w:rPr>
      </w:pPr>
      <w:r w:rsidRPr="002F181F">
        <w:rPr>
          <w:sz w:val="26"/>
          <w:szCs w:val="26"/>
        </w:rPr>
        <w:t>- Закону Российской Федерации от 19.02.1993 № 4520-1 «О государственных гарантиях и компенсациях для лиц, работающих и проживающих в районах Крайнего Севера и приравненных к ним местностях»;</w:t>
      </w:r>
    </w:p>
    <w:p w14:paraId="514DE75B" w14:textId="709093AE" w:rsidR="002F181F" w:rsidRDefault="002F181F" w:rsidP="002F181F">
      <w:pPr>
        <w:ind w:firstLine="708"/>
        <w:jc w:val="both"/>
        <w:rPr>
          <w:sz w:val="26"/>
          <w:szCs w:val="26"/>
        </w:rPr>
      </w:pPr>
      <w:r w:rsidRPr="002F181F">
        <w:rPr>
          <w:sz w:val="26"/>
          <w:szCs w:val="26"/>
        </w:rPr>
        <w:t xml:space="preserve">- Закону Ханты-Мансийского автономного округа </w:t>
      </w:r>
      <w:r w:rsidR="008836A0">
        <w:rPr>
          <w:sz w:val="26"/>
          <w:szCs w:val="26"/>
        </w:rPr>
        <w:t>–</w:t>
      </w:r>
      <w:r w:rsidRPr="002F181F">
        <w:rPr>
          <w:sz w:val="26"/>
          <w:szCs w:val="26"/>
        </w:rPr>
        <w:t xml:space="preserve"> Югры от 09.12.2004 № 76-оз «О гарантиях и компенсациях для лиц, проживающих в Ханты-Мансийском автономном округе </w:t>
      </w:r>
      <w:r w:rsidR="008836A0">
        <w:rPr>
          <w:sz w:val="26"/>
          <w:szCs w:val="26"/>
        </w:rPr>
        <w:t>–</w:t>
      </w:r>
      <w:r w:rsidRPr="002F181F">
        <w:rPr>
          <w:sz w:val="26"/>
          <w:szCs w:val="26"/>
        </w:rPr>
        <w:t xml:space="preserve"> Югре, работающих в государственных органах и государственных учреждениях Ханты-Мансийского автономного округа </w:t>
      </w:r>
      <w:r w:rsidR="008836A0">
        <w:rPr>
          <w:sz w:val="26"/>
          <w:szCs w:val="26"/>
        </w:rPr>
        <w:t>–</w:t>
      </w:r>
      <w:r w:rsidRPr="002F181F">
        <w:rPr>
          <w:sz w:val="26"/>
          <w:szCs w:val="26"/>
        </w:rPr>
        <w:t xml:space="preserve"> Югры, территориальном фонде обязательного медицинского страхования Ханты-Мансийского автономного округа – Югры».</w:t>
      </w:r>
    </w:p>
    <w:p w14:paraId="2E6D6BB4" w14:textId="77777777" w:rsidR="002F181F" w:rsidRDefault="002F181F" w:rsidP="003423A1">
      <w:pPr>
        <w:ind w:firstLine="708"/>
        <w:jc w:val="both"/>
        <w:rPr>
          <w:sz w:val="26"/>
          <w:szCs w:val="26"/>
        </w:rPr>
      </w:pPr>
    </w:p>
    <w:p w14:paraId="6D91BA46" w14:textId="52DD115E" w:rsidR="002A318C" w:rsidRDefault="002A318C" w:rsidP="002A318C">
      <w:pPr>
        <w:autoSpaceDE w:val="0"/>
        <w:autoSpaceDN w:val="0"/>
        <w:adjustRightInd w:val="0"/>
        <w:ind w:firstLine="709"/>
        <w:jc w:val="both"/>
        <w:outlineLvl w:val="2"/>
        <w:rPr>
          <w:bCs/>
          <w:sz w:val="26"/>
          <w:szCs w:val="26"/>
        </w:rPr>
      </w:pPr>
      <w:r w:rsidRPr="0006605F">
        <w:rPr>
          <w:bCs/>
          <w:sz w:val="26"/>
          <w:szCs w:val="26"/>
        </w:rPr>
        <w:lastRenderedPageBreak/>
        <w:t xml:space="preserve">По рекомендации круглого стола на тему «О </w:t>
      </w:r>
      <w:r>
        <w:rPr>
          <w:bCs/>
          <w:sz w:val="26"/>
          <w:szCs w:val="26"/>
        </w:rPr>
        <w:t>развитии практик инициативного бюджетирования в муниципальных образованиях Ханты-Мансийского автономного округа – Югры</w:t>
      </w:r>
      <w:r w:rsidRPr="0006605F">
        <w:rPr>
          <w:bCs/>
          <w:sz w:val="26"/>
          <w:szCs w:val="26"/>
        </w:rPr>
        <w:t>»</w:t>
      </w:r>
      <w:r>
        <w:rPr>
          <w:bCs/>
          <w:sz w:val="26"/>
          <w:szCs w:val="26"/>
        </w:rPr>
        <w:t>.</w:t>
      </w:r>
    </w:p>
    <w:p w14:paraId="5188EF5C" w14:textId="77777777" w:rsidR="00286AD6" w:rsidRPr="00286AD6" w:rsidRDefault="00286AD6" w:rsidP="00286AD6">
      <w:pPr>
        <w:ind w:firstLine="708"/>
        <w:jc w:val="both"/>
        <w:rPr>
          <w:bCs/>
          <w:sz w:val="26"/>
          <w:szCs w:val="26"/>
        </w:rPr>
      </w:pPr>
      <w:r w:rsidRPr="00286AD6">
        <w:rPr>
          <w:bCs/>
          <w:sz w:val="26"/>
          <w:szCs w:val="26"/>
        </w:rPr>
        <w:t>Нефтеюганский район первым (в 2017 году) в Ханты-Мансийском автономном округе – Югре начал реализацию механизмов инициативного бюджетирования в рамках конкурса проектов «Народный бюджет». По количеству предоставленных заявок можно сказать, что интерес граждан к конкурсу инициативных проектов с каждым годом устойчиво растет.</w:t>
      </w:r>
    </w:p>
    <w:p w14:paraId="0D537AAF" w14:textId="77777777" w:rsidR="00286AD6" w:rsidRPr="00286AD6" w:rsidRDefault="00286AD6" w:rsidP="00286AD6">
      <w:pPr>
        <w:ind w:firstLine="708"/>
        <w:jc w:val="both"/>
        <w:rPr>
          <w:bCs/>
          <w:sz w:val="26"/>
          <w:szCs w:val="26"/>
        </w:rPr>
      </w:pPr>
      <w:r w:rsidRPr="00286AD6">
        <w:rPr>
          <w:bCs/>
          <w:sz w:val="26"/>
          <w:szCs w:val="26"/>
        </w:rPr>
        <w:t>С 2017 года с целью популяризации инициативного бюджетирования на официальном сайте органов местного самоуправления был создан раздел «Инициативное бюджетирование».</w:t>
      </w:r>
    </w:p>
    <w:p w14:paraId="56965261" w14:textId="77777777" w:rsidR="00286AD6" w:rsidRPr="00286AD6" w:rsidRDefault="00286AD6" w:rsidP="00286AD6">
      <w:pPr>
        <w:ind w:firstLine="708"/>
        <w:jc w:val="both"/>
        <w:rPr>
          <w:bCs/>
          <w:sz w:val="26"/>
          <w:szCs w:val="26"/>
        </w:rPr>
      </w:pPr>
      <w:r w:rsidRPr="00286AD6">
        <w:rPr>
          <w:bCs/>
          <w:sz w:val="26"/>
          <w:szCs w:val="26"/>
        </w:rPr>
        <w:t>Раздел содержит пошаговый алгоритм действий инициаторов проектов, архив всех проектов с 2017 года с фотоизображением их состояния до и после реализации; всю актуальную нормативную базу и различные вспомогательные материалы.</w:t>
      </w:r>
    </w:p>
    <w:p w14:paraId="4E53B953" w14:textId="5D87D681" w:rsidR="00AA7B16" w:rsidRPr="00286AD6" w:rsidRDefault="00286AD6" w:rsidP="00286AD6">
      <w:pPr>
        <w:ind w:firstLine="709"/>
        <w:jc w:val="both"/>
        <w:rPr>
          <w:bCs/>
          <w:sz w:val="26"/>
          <w:szCs w:val="26"/>
        </w:rPr>
      </w:pPr>
      <w:bookmarkStart w:id="1" w:name="_Hlk173491742"/>
      <w:r w:rsidRPr="00286AD6">
        <w:rPr>
          <w:bCs/>
          <w:sz w:val="26"/>
          <w:szCs w:val="26"/>
        </w:rPr>
        <w:t xml:space="preserve">По подпункту </w:t>
      </w:r>
      <w:r w:rsidR="00AA7B16" w:rsidRPr="00286AD6">
        <w:rPr>
          <w:bCs/>
          <w:sz w:val="26"/>
          <w:szCs w:val="26"/>
        </w:rPr>
        <w:t>2</w:t>
      </w:r>
      <w:r w:rsidRPr="00286AD6">
        <w:rPr>
          <w:bCs/>
          <w:sz w:val="26"/>
          <w:szCs w:val="26"/>
        </w:rPr>
        <w:t xml:space="preserve"> рекомендации круглого стола:</w:t>
      </w:r>
    </w:p>
    <w:bookmarkEnd w:id="1"/>
    <w:p w14:paraId="7CF98AFA" w14:textId="7C059E5F" w:rsidR="00AA7B16" w:rsidRPr="00286AD6" w:rsidRDefault="00286AD6" w:rsidP="00AA7B16">
      <w:pPr>
        <w:ind w:firstLine="709"/>
        <w:jc w:val="both"/>
        <w:rPr>
          <w:bCs/>
          <w:sz w:val="26"/>
          <w:szCs w:val="26"/>
        </w:rPr>
      </w:pPr>
      <w:r w:rsidRPr="00286AD6">
        <w:rPr>
          <w:bCs/>
          <w:sz w:val="26"/>
          <w:szCs w:val="26"/>
        </w:rPr>
        <w:t>С</w:t>
      </w:r>
      <w:r w:rsidR="00AA7B16" w:rsidRPr="00286AD6">
        <w:rPr>
          <w:bCs/>
          <w:sz w:val="26"/>
          <w:szCs w:val="26"/>
        </w:rPr>
        <w:t xml:space="preserve"> 2024 года финансирование инициативных проектов будет предусмотрено в муниципальной программе Нефтеюганского района</w:t>
      </w:r>
      <w:r w:rsidRPr="00286AD6">
        <w:rPr>
          <w:bCs/>
          <w:sz w:val="26"/>
          <w:szCs w:val="26"/>
        </w:rPr>
        <w:t>.</w:t>
      </w:r>
    </w:p>
    <w:p w14:paraId="373C91E7" w14:textId="0F5E7F8E" w:rsidR="00286AD6" w:rsidRPr="00286AD6" w:rsidRDefault="00286AD6" w:rsidP="00286AD6">
      <w:pPr>
        <w:ind w:firstLine="709"/>
        <w:jc w:val="both"/>
        <w:rPr>
          <w:bCs/>
          <w:sz w:val="26"/>
          <w:szCs w:val="26"/>
        </w:rPr>
      </w:pPr>
      <w:r w:rsidRPr="00286AD6">
        <w:rPr>
          <w:bCs/>
          <w:sz w:val="26"/>
          <w:szCs w:val="26"/>
        </w:rPr>
        <w:t>По подпункту 3 рекомендации круглого стола:</w:t>
      </w:r>
    </w:p>
    <w:p w14:paraId="49FEF6F6" w14:textId="7F68546C" w:rsidR="00AA7B16" w:rsidRDefault="00286AD6" w:rsidP="004F5094">
      <w:pPr>
        <w:ind w:firstLine="709"/>
        <w:jc w:val="both"/>
        <w:rPr>
          <w:bCs/>
          <w:sz w:val="26"/>
          <w:szCs w:val="26"/>
        </w:rPr>
      </w:pPr>
      <w:r w:rsidRPr="00286AD6">
        <w:rPr>
          <w:bCs/>
          <w:sz w:val="26"/>
          <w:szCs w:val="26"/>
        </w:rPr>
        <w:t>С</w:t>
      </w:r>
      <w:r w:rsidR="00AA7B16" w:rsidRPr="00286AD6">
        <w:rPr>
          <w:bCs/>
          <w:sz w:val="26"/>
          <w:szCs w:val="26"/>
        </w:rPr>
        <w:t xml:space="preserve"> 2021 года глава Нефтеюганского района провела более 70 встреч с жителями Нефтеюганского района, на которых информировала граждан о существовании практики инициативного бюджетирования и праве граждан принимать участие в бюджетном процессе и решать вопросы местного значения.</w:t>
      </w:r>
    </w:p>
    <w:p w14:paraId="607BB456" w14:textId="0B1636BC" w:rsidR="004F5094" w:rsidRDefault="004F5094" w:rsidP="004F5094">
      <w:pPr>
        <w:ind w:firstLine="709"/>
        <w:jc w:val="both"/>
        <w:rPr>
          <w:bCs/>
          <w:sz w:val="26"/>
          <w:szCs w:val="26"/>
        </w:rPr>
      </w:pPr>
      <w:r>
        <w:rPr>
          <w:bCs/>
          <w:sz w:val="26"/>
          <w:szCs w:val="26"/>
        </w:rPr>
        <w:t xml:space="preserve">По подпункту 4 </w:t>
      </w:r>
      <w:r w:rsidRPr="004F5094">
        <w:rPr>
          <w:bCs/>
          <w:sz w:val="26"/>
          <w:szCs w:val="26"/>
        </w:rPr>
        <w:t>рекомендации круглого стола:</w:t>
      </w:r>
    </w:p>
    <w:p w14:paraId="7EFE524E" w14:textId="278E80A7" w:rsidR="004F5094" w:rsidRPr="002B0C75" w:rsidRDefault="004F5094" w:rsidP="002B0C75">
      <w:pPr>
        <w:ind w:firstLine="708"/>
        <w:jc w:val="both"/>
        <w:rPr>
          <w:bCs/>
          <w:sz w:val="26"/>
          <w:szCs w:val="26"/>
        </w:rPr>
      </w:pPr>
      <w:r>
        <w:rPr>
          <w:bCs/>
          <w:sz w:val="26"/>
          <w:szCs w:val="26"/>
        </w:rPr>
        <w:t>В целях привлечения граждан к участию в проектах по инициативному бюджетированию, депутатами Думы Нефтеюганского района утвержден</w:t>
      </w:r>
      <w:r w:rsidR="002B0C75">
        <w:rPr>
          <w:bCs/>
          <w:sz w:val="26"/>
          <w:szCs w:val="26"/>
        </w:rPr>
        <w:t xml:space="preserve"> порядок </w:t>
      </w:r>
      <w:r w:rsidR="002B0C75" w:rsidRPr="002B0C75">
        <w:rPr>
          <w:bCs/>
          <w:sz w:val="26"/>
          <w:szCs w:val="26"/>
        </w:rPr>
        <w:t>выдвижения</w:t>
      </w:r>
      <w:r w:rsidR="002B0C75" w:rsidRPr="002B0C75">
        <w:rPr>
          <w:bCs/>
          <w:sz w:val="26"/>
          <w:szCs w:val="26"/>
        </w:rPr>
        <w:t>, внесения, обсуждения, рассмотрения инициативных проектов, а также проведения их конкурсного отбора</w:t>
      </w:r>
      <w:r>
        <w:rPr>
          <w:bCs/>
          <w:sz w:val="26"/>
          <w:szCs w:val="26"/>
        </w:rPr>
        <w:t xml:space="preserve"> </w:t>
      </w:r>
      <w:r w:rsidR="002B0C75">
        <w:rPr>
          <w:bCs/>
          <w:sz w:val="26"/>
          <w:szCs w:val="26"/>
        </w:rPr>
        <w:t>(</w:t>
      </w:r>
      <w:r>
        <w:rPr>
          <w:bCs/>
          <w:sz w:val="26"/>
          <w:szCs w:val="26"/>
        </w:rPr>
        <w:t xml:space="preserve">решение Думы района от </w:t>
      </w:r>
      <w:r w:rsidRPr="004F5094">
        <w:rPr>
          <w:bCs/>
          <w:sz w:val="26"/>
          <w:szCs w:val="26"/>
        </w:rPr>
        <w:t>28.12.2020</w:t>
      </w:r>
      <w:r>
        <w:rPr>
          <w:bCs/>
          <w:sz w:val="26"/>
          <w:szCs w:val="26"/>
        </w:rPr>
        <w:t xml:space="preserve"> </w:t>
      </w:r>
      <w:r>
        <w:rPr>
          <w:bCs/>
          <w:sz w:val="26"/>
          <w:szCs w:val="26"/>
        </w:rPr>
        <w:t xml:space="preserve">№ </w:t>
      </w:r>
      <w:r w:rsidRPr="004F5094">
        <w:rPr>
          <w:bCs/>
          <w:sz w:val="26"/>
          <w:szCs w:val="26"/>
        </w:rPr>
        <w:t>563</w:t>
      </w:r>
      <w:r>
        <w:rPr>
          <w:bCs/>
          <w:sz w:val="26"/>
          <w:szCs w:val="26"/>
        </w:rPr>
        <w:t xml:space="preserve"> </w:t>
      </w:r>
      <w:r w:rsidR="002B0C75">
        <w:rPr>
          <w:bCs/>
          <w:sz w:val="26"/>
          <w:szCs w:val="26"/>
        </w:rPr>
        <w:br/>
      </w:r>
      <w:r>
        <w:rPr>
          <w:bCs/>
          <w:sz w:val="26"/>
          <w:szCs w:val="26"/>
        </w:rPr>
        <w:t>«</w:t>
      </w:r>
      <w:r w:rsidRPr="004F5094">
        <w:rPr>
          <w:bCs/>
          <w:sz w:val="26"/>
          <w:szCs w:val="26"/>
        </w:rPr>
        <w:t>О реализации инициативных проектов в Нефтеюганском районе</w:t>
      </w:r>
      <w:r>
        <w:rPr>
          <w:bCs/>
          <w:sz w:val="26"/>
          <w:szCs w:val="26"/>
        </w:rPr>
        <w:t xml:space="preserve">» в редакции на </w:t>
      </w:r>
      <w:r w:rsidRPr="002B0C75">
        <w:rPr>
          <w:bCs/>
          <w:sz w:val="26"/>
          <w:szCs w:val="26"/>
        </w:rPr>
        <w:t>24.05.2023</w:t>
      </w:r>
      <w:r w:rsidRPr="002B0C75">
        <w:rPr>
          <w:bCs/>
          <w:sz w:val="26"/>
          <w:szCs w:val="26"/>
        </w:rPr>
        <w:t xml:space="preserve"> № 906</w:t>
      </w:r>
      <w:r w:rsidR="002B0C75" w:rsidRPr="002B0C75">
        <w:rPr>
          <w:bCs/>
          <w:sz w:val="26"/>
          <w:szCs w:val="26"/>
        </w:rPr>
        <w:t>)</w:t>
      </w:r>
      <w:r>
        <w:rPr>
          <w:bCs/>
          <w:sz w:val="26"/>
          <w:szCs w:val="26"/>
        </w:rPr>
        <w:t xml:space="preserve">. </w:t>
      </w:r>
    </w:p>
    <w:p w14:paraId="704A2388" w14:textId="11F9302F" w:rsidR="004F5094" w:rsidRPr="004F5094" w:rsidRDefault="004F5094" w:rsidP="004F5094">
      <w:pPr>
        <w:ind w:firstLine="709"/>
        <w:jc w:val="both"/>
        <w:rPr>
          <w:bCs/>
          <w:sz w:val="26"/>
          <w:szCs w:val="26"/>
        </w:rPr>
      </w:pPr>
      <w:r>
        <w:rPr>
          <w:bCs/>
          <w:sz w:val="26"/>
          <w:szCs w:val="26"/>
        </w:rPr>
        <w:t xml:space="preserve">Данным решением предусмотрена </w:t>
      </w:r>
      <w:r w:rsidRPr="002B0C75">
        <w:rPr>
          <w:bCs/>
          <w:sz w:val="26"/>
          <w:szCs w:val="26"/>
        </w:rPr>
        <w:t>р</w:t>
      </w:r>
      <w:r w:rsidRPr="002B0C75">
        <w:rPr>
          <w:bCs/>
          <w:sz w:val="26"/>
          <w:szCs w:val="26"/>
        </w:rPr>
        <w:t xml:space="preserve">еализация инициативных проектов </w:t>
      </w:r>
      <w:r w:rsidRPr="002B0C75">
        <w:rPr>
          <w:bCs/>
          <w:sz w:val="26"/>
          <w:szCs w:val="26"/>
        </w:rPr>
        <w:t>в Нефтеюганском районе,</w:t>
      </w:r>
      <w:r w:rsidRPr="002B0C75">
        <w:rPr>
          <w:bCs/>
          <w:sz w:val="26"/>
          <w:szCs w:val="26"/>
        </w:rPr>
        <w:t xml:space="preserve"> направлен</w:t>
      </w:r>
      <w:r w:rsidRPr="002B0C75">
        <w:rPr>
          <w:bCs/>
          <w:sz w:val="26"/>
          <w:szCs w:val="26"/>
        </w:rPr>
        <w:t xml:space="preserve">ных </w:t>
      </w:r>
      <w:r w:rsidRPr="002B0C75">
        <w:rPr>
          <w:bCs/>
          <w:sz w:val="26"/>
          <w:szCs w:val="26"/>
        </w:rPr>
        <w:t>на определение и реализацию социально значимых проектов на территориях муниципальных образований Нефтеюганского района с привлечением граждан и организаций к деятельности органов местного самоуправления в решении проблем местного значения.</w:t>
      </w:r>
    </w:p>
    <w:p w14:paraId="5F2B7607" w14:textId="167247FE" w:rsidR="00286AD6" w:rsidRPr="00286AD6" w:rsidRDefault="00286AD6" w:rsidP="004F5094">
      <w:pPr>
        <w:ind w:firstLine="709"/>
        <w:jc w:val="both"/>
        <w:rPr>
          <w:bCs/>
          <w:sz w:val="26"/>
          <w:szCs w:val="26"/>
        </w:rPr>
      </w:pPr>
      <w:r w:rsidRPr="00286AD6">
        <w:rPr>
          <w:bCs/>
          <w:sz w:val="26"/>
          <w:szCs w:val="26"/>
        </w:rPr>
        <w:t>По подпункту 5 рекомендации круглого стола:</w:t>
      </w:r>
    </w:p>
    <w:p w14:paraId="7A7A0397" w14:textId="21A8F614" w:rsidR="002A318C" w:rsidRPr="00286AD6" w:rsidRDefault="00286AD6" w:rsidP="00AA7B16">
      <w:pPr>
        <w:autoSpaceDE w:val="0"/>
        <w:autoSpaceDN w:val="0"/>
        <w:adjustRightInd w:val="0"/>
        <w:ind w:firstLine="709"/>
        <w:jc w:val="both"/>
        <w:outlineLvl w:val="2"/>
        <w:rPr>
          <w:bCs/>
          <w:sz w:val="26"/>
          <w:szCs w:val="26"/>
        </w:rPr>
      </w:pPr>
      <w:r w:rsidRPr="00286AD6">
        <w:rPr>
          <w:bCs/>
          <w:sz w:val="26"/>
          <w:szCs w:val="26"/>
        </w:rPr>
        <w:t>Ч</w:t>
      </w:r>
      <w:r w:rsidR="00AA7B16" w:rsidRPr="00286AD6">
        <w:rPr>
          <w:bCs/>
          <w:sz w:val="26"/>
          <w:szCs w:val="26"/>
        </w:rPr>
        <w:t>лены Молодежного парламента при Думе Нефтеюганского района входят в состав инициативных групп, которые заявляют проекты на конкурс инициативного бюджетирования</w:t>
      </w:r>
      <w:r w:rsidRPr="00286AD6">
        <w:rPr>
          <w:bCs/>
          <w:sz w:val="26"/>
          <w:szCs w:val="26"/>
        </w:rPr>
        <w:t>.</w:t>
      </w:r>
    </w:p>
    <w:p w14:paraId="7413207C" w14:textId="77777777" w:rsidR="003423A1" w:rsidRPr="003423A1" w:rsidRDefault="003423A1" w:rsidP="003423A1">
      <w:pPr>
        <w:ind w:firstLine="708"/>
        <w:jc w:val="both"/>
        <w:rPr>
          <w:bCs/>
          <w:sz w:val="26"/>
          <w:szCs w:val="26"/>
        </w:rPr>
      </w:pPr>
    </w:p>
    <w:p w14:paraId="10128CAD" w14:textId="77777777" w:rsidR="00AA7E72" w:rsidRPr="00AA7E72" w:rsidRDefault="00AA7E72" w:rsidP="00AA7E72">
      <w:pPr>
        <w:jc w:val="both"/>
        <w:rPr>
          <w:sz w:val="18"/>
          <w:szCs w:val="18"/>
        </w:rPr>
      </w:pPr>
    </w:p>
    <w:sectPr w:rsidR="00AA7E72" w:rsidRPr="00AA7E72" w:rsidSect="004151FA">
      <w:headerReference w:type="even" r:id="rId11"/>
      <w:headerReference w:type="default" r:id="rId12"/>
      <w:pgSz w:w="11906" w:h="16838"/>
      <w:pgMar w:top="993"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5AF67" w14:textId="77777777" w:rsidR="00385554" w:rsidRDefault="00385554">
      <w:r>
        <w:separator/>
      </w:r>
    </w:p>
  </w:endnote>
  <w:endnote w:type="continuationSeparator" w:id="0">
    <w:p w14:paraId="22EEAE1F" w14:textId="77777777" w:rsidR="00385554" w:rsidRDefault="00385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2A3BC" w14:textId="77777777" w:rsidR="00385554" w:rsidRDefault="00385554">
      <w:r>
        <w:separator/>
      </w:r>
    </w:p>
  </w:footnote>
  <w:footnote w:type="continuationSeparator" w:id="0">
    <w:p w14:paraId="5B22DD23" w14:textId="77777777" w:rsidR="00385554" w:rsidRDefault="003855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D6E5F" w14:textId="77777777" w:rsidR="00773304" w:rsidRDefault="00773304" w:rsidP="00D75C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78002FC" w14:textId="77777777" w:rsidR="00773304" w:rsidRDefault="0077330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37580" w14:textId="444A7074" w:rsidR="00773304" w:rsidRPr="009B56B7" w:rsidRDefault="00773304" w:rsidP="00D75C2C">
    <w:pPr>
      <w:pStyle w:val="a5"/>
      <w:framePr w:wrap="around" w:vAnchor="text" w:hAnchor="margin" w:xAlign="center" w:y="1"/>
      <w:rPr>
        <w:rStyle w:val="a6"/>
      </w:rPr>
    </w:pPr>
    <w:r w:rsidRPr="009B56B7">
      <w:rPr>
        <w:rStyle w:val="a6"/>
      </w:rPr>
      <w:fldChar w:fldCharType="begin"/>
    </w:r>
    <w:r w:rsidRPr="009B56B7">
      <w:rPr>
        <w:rStyle w:val="a6"/>
      </w:rPr>
      <w:instrText xml:space="preserve">PAGE  </w:instrText>
    </w:r>
    <w:r w:rsidRPr="009B56B7">
      <w:rPr>
        <w:rStyle w:val="a6"/>
      </w:rPr>
      <w:fldChar w:fldCharType="separate"/>
    </w:r>
    <w:r w:rsidR="004F21D1">
      <w:rPr>
        <w:rStyle w:val="a6"/>
        <w:noProof/>
      </w:rPr>
      <w:t>2</w:t>
    </w:r>
    <w:r w:rsidRPr="009B56B7">
      <w:rPr>
        <w:rStyle w:val="a6"/>
      </w:rPr>
      <w:fldChar w:fldCharType="end"/>
    </w:r>
  </w:p>
  <w:p w14:paraId="3DAF9C72" w14:textId="77777777" w:rsidR="00773304" w:rsidRDefault="0077330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3117DE"/>
    <w:multiLevelType w:val="hybridMultilevel"/>
    <w:tmpl w:val="C5E46F7C"/>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5A412C"/>
    <w:multiLevelType w:val="multilevel"/>
    <w:tmpl w:val="9606DDC8"/>
    <w:lvl w:ilvl="0">
      <w:start w:val="1"/>
      <w:numFmt w:val="decimal"/>
      <w:lvlText w:val="%1."/>
      <w:lvlJc w:val="left"/>
      <w:pPr>
        <w:ind w:left="3860" w:hanging="360"/>
      </w:pPr>
      <w:rPr>
        <w:rFonts w:hint="default"/>
      </w:rPr>
    </w:lvl>
    <w:lvl w:ilvl="1">
      <w:start w:val="1"/>
      <w:numFmt w:val="decimal"/>
      <w:isLgl/>
      <w:lvlText w:val="%1.%2."/>
      <w:lvlJc w:val="left"/>
      <w:pPr>
        <w:ind w:left="4520" w:hanging="1020"/>
      </w:pPr>
      <w:rPr>
        <w:rFonts w:eastAsia="Arial Unicode MS" w:hint="default"/>
        <w:color w:val="000000"/>
      </w:rPr>
    </w:lvl>
    <w:lvl w:ilvl="2">
      <w:start w:val="1"/>
      <w:numFmt w:val="decimal"/>
      <w:isLgl/>
      <w:lvlText w:val="%1.%2.%3."/>
      <w:lvlJc w:val="left"/>
      <w:pPr>
        <w:ind w:left="4520" w:hanging="1020"/>
      </w:pPr>
      <w:rPr>
        <w:rFonts w:eastAsia="Arial Unicode MS" w:hint="default"/>
        <w:color w:val="000000"/>
      </w:rPr>
    </w:lvl>
    <w:lvl w:ilvl="3">
      <w:start w:val="1"/>
      <w:numFmt w:val="decimal"/>
      <w:isLgl/>
      <w:lvlText w:val="%1.%2.%3.%4."/>
      <w:lvlJc w:val="left"/>
      <w:pPr>
        <w:ind w:left="4580" w:hanging="1080"/>
      </w:pPr>
      <w:rPr>
        <w:rFonts w:eastAsia="Arial Unicode MS" w:hint="default"/>
        <w:color w:val="000000"/>
      </w:rPr>
    </w:lvl>
    <w:lvl w:ilvl="4">
      <w:start w:val="1"/>
      <w:numFmt w:val="decimal"/>
      <w:isLgl/>
      <w:lvlText w:val="%1.%2.%3.%4.%5."/>
      <w:lvlJc w:val="left"/>
      <w:pPr>
        <w:ind w:left="4580" w:hanging="1080"/>
      </w:pPr>
      <w:rPr>
        <w:rFonts w:eastAsia="Arial Unicode MS" w:hint="default"/>
        <w:color w:val="000000"/>
      </w:rPr>
    </w:lvl>
    <w:lvl w:ilvl="5">
      <w:start w:val="1"/>
      <w:numFmt w:val="decimal"/>
      <w:isLgl/>
      <w:lvlText w:val="%1.%2.%3.%4.%5.%6."/>
      <w:lvlJc w:val="left"/>
      <w:pPr>
        <w:ind w:left="4940" w:hanging="1440"/>
      </w:pPr>
      <w:rPr>
        <w:rFonts w:eastAsia="Arial Unicode MS" w:hint="default"/>
        <w:color w:val="000000"/>
      </w:rPr>
    </w:lvl>
    <w:lvl w:ilvl="6">
      <w:start w:val="1"/>
      <w:numFmt w:val="decimal"/>
      <w:isLgl/>
      <w:lvlText w:val="%1.%2.%3.%4.%5.%6.%7."/>
      <w:lvlJc w:val="left"/>
      <w:pPr>
        <w:ind w:left="4940" w:hanging="1440"/>
      </w:pPr>
      <w:rPr>
        <w:rFonts w:eastAsia="Arial Unicode MS" w:hint="default"/>
        <w:color w:val="000000"/>
      </w:rPr>
    </w:lvl>
    <w:lvl w:ilvl="7">
      <w:start w:val="1"/>
      <w:numFmt w:val="decimal"/>
      <w:isLgl/>
      <w:lvlText w:val="%1.%2.%3.%4.%5.%6.%7.%8."/>
      <w:lvlJc w:val="left"/>
      <w:pPr>
        <w:ind w:left="5300" w:hanging="1800"/>
      </w:pPr>
      <w:rPr>
        <w:rFonts w:eastAsia="Arial Unicode MS" w:hint="default"/>
        <w:color w:val="000000"/>
      </w:rPr>
    </w:lvl>
    <w:lvl w:ilvl="8">
      <w:start w:val="1"/>
      <w:numFmt w:val="decimal"/>
      <w:isLgl/>
      <w:lvlText w:val="%1.%2.%3.%4.%5.%6.%7.%8.%9."/>
      <w:lvlJc w:val="left"/>
      <w:pPr>
        <w:ind w:left="5300" w:hanging="1800"/>
      </w:pPr>
      <w:rPr>
        <w:rFonts w:eastAsia="Arial Unicode MS" w:hint="default"/>
        <w:color w:val="000000"/>
      </w:rPr>
    </w:lvl>
  </w:abstractNum>
  <w:abstractNum w:abstractNumId="2" w15:restartNumberingAfterBreak="0">
    <w:nsid w:val="584F26CF"/>
    <w:multiLevelType w:val="hybridMultilevel"/>
    <w:tmpl w:val="71FE8544"/>
    <w:lvl w:ilvl="0" w:tplc="0FD4986E">
      <w:start w:val="1"/>
      <w:numFmt w:val="decimal"/>
      <w:lvlText w:val="%1."/>
      <w:lvlJc w:val="left"/>
      <w:pPr>
        <w:tabs>
          <w:tab w:val="num" w:pos="720"/>
        </w:tabs>
        <w:ind w:left="720" w:hanging="360"/>
      </w:pPr>
    </w:lvl>
    <w:lvl w:ilvl="1" w:tplc="401E2010">
      <w:numFmt w:val="none"/>
      <w:lvlText w:val=""/>
      <w:lvlJc w:val="left"/>
      <w:pPr>
        <w:tabs>
          <w:tab w:val="num" w:pos="360"/>
        </w:tabs>
      </w:pPr>
    </w:lvl>
    <w:lvl w:ilvl="2" w:tplc="79B81708">
      <w:numFmt w:val="none"/>
      <w:lvlText w:val=""/>
      <w:lvlJc w:val="left"/>
      <w:pPr>
        <w:tabs>
          <w:tab w:val="num" w:pos="360"/>
        </w:tabs>
      </w:pPr>
    </w:lvl>
    <w:lvl w:ilvl="3" w:tplc="117AE2B2">
      <w:numFmt w:val="none"/>
      <w:lvlText w:val=""/>
      <w:lvlJc w:val="left"/>
      <w:pPr>
        <w:tabs>
          <w:tab w:val="num" w:pos="360"/>
        </w:tabs>
      </w:pPr>
    </w:lvl>
    <w:lvl w:ilvl="4" w:tplc="41CCA022">
      <w:numFmt w:val="none"/>
      <w:lvlText w:val=""/>
      <w:lvlJc w:val="left"/>
      <w:pPr>
        <w:tabs>
          <w:tab w:val="num" w:pos="360"/>
        </w:tabs>
      </w:pPr>
    </w:lvl>
    <w:lvl w:ilvl="5" w:tplc="9FC82EDC">
      <w:numFmt w:val="none"/>
      <w:lvlText w:val=""/>
      <w:lvlJc w:val="left"/>
      <w:pPr>
        <w:tabs>
          <w:tab w:val="num" w:pos="360"/>
        </w:tabs>
      </w:pPr>
    </w:lvl>
    <w:lvl w:ilvl="6" w:tplc="181A1B0A">
      <w:numFmt w:val="none"/>
      <w:lvlText w:val=""/>
      <w:lvlJc w:val="left"/>
      <w:pPr>
        <w:tabs>
          <w:tab w:val="num" w:pos="360"/>
        </w:tabs>
      </w:pPr>
    </w:lvl>
    <w:lvl w:ilvl="7" w:tplc="B6322BCC">
      <w:numFmt w:val="none"/>
      <w:lvlText w:val=""/>
      <w:lvlJc w:val="left"/>
      <w:pPr>
        <w:tabs>
          <w:tab w:val="num" w:pos="360"/>
        </w:tabs>
      </w:pPr>
    </w:lvl>
    <w:lvl w:ilvl="8" w:tplc="765AF992">
      <w:numFmt w:val="none"/>
      <w:lvlText w:val=""/>
      <w:lvlJc w:val="left"/>
      <w:pPr>
        <w:tabs>
          <w:tab w:val="num" w:pos="360"/>
        </w:tabs>
      </w:pPr>
    </w:lvl>
  </w:abstractNum>
  <w:abstractNum w:abstractNumId="3" w15:restartNumberingAfterBreak="0">
    <w:nsid w:val="635C08A2"/>
    <w:multiLevelType w:val="hybridMultilevel"/>
    <w:tmpl w:val="4F328CBE"/>
    <w:lvl w:ilvl="0" w:tplc="60A2944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E66"/>
    <w:rsid w:val="000019D7"/>
    <w:rsid w:val="00020847"/>
    <w:rsid w:val="000325DE"/>
    <w:rsid w:val="00033890"/>
    <w:rsid w:val="00035CA9"/>
    <w:rsid w:val="00055170"/>
    <w:rsid w:val="00061148"/>
    <w:rsid w:val="00067D4F"/>
    <w:rsid w:val="00081ABF"/>
    <w:rsid w:val="000A6047"/>
    <w:rsid w:val="000B7BC8"/>
    <w:rsid w:val="000D02B2"/>
    <w:rsid w:val="000D3DA0"/>
    <w:rsid w:val="0010181D"/>
    <w:rsid w:val="00102732"/>
    <w:rsid w:val="00116486"/>
    <w:rsid w:val="001432A4"/>
    <w:rsid w:val="00162990"/>
    <w:rsid w:val="00165489"/>
    <w:rsid w:val="00171E28"/>
    <w:rsid w:val="001745EA"/>
    <w:rsid w:val="00177135"/>
    <w:rsid w:val="001817F7"/>
    <w:rsid w:val="00183D08"/>
    <w:rsid w:val="001A0C16"/>
    <w:rsid w:val="001A2655"/>
    <w:rsid w:val="001A2674"/>
    <w:rsid w:val="001A71E4"/>
    <w:rsid w:val="001B46D2"/>
    <w:rsid w:val="001C226D"/>
    <w:rsid w:val="001C69AA"/>
    <w:rsid w:val="001D0C7B"/>
    <w:rsid w:val="001D135C"/>
    <w:rsid w:val="001E07B8"/>
    <w:rsid w:val="001F10E9"/>
    <w:rsid w:val="001F2D24"/>
    <w:rsid w:val="00202589"/>
    <w:rsid w:val="002057B9"/>
    <w:rsid w:val="00205F6A"/>
    <w:rsid w:val="00213A6A"/>
    <w:rsid w:val="00213D55"/>
    <w:rsid w:val="00216C36"/>
    <w:rsid w:val="0022428D"/>
    <w:rsid w:val="00225A20"/>
    <w:rsid w:val="002412EA"/>
    <w:rsid w:val="0024217B"/>
    <w:rsid w:val="002426EB"/>
    <w:rsid w:val="0024300B"/>
    <w:rsid w:val="0024321C"/>
    <w:rsid w:val="00251D7F"/>
    <w:rsid w:val="00252790"/>
    <w:rsid w:val="00255D2E"/>
    <w:rsid w:val="00271322"/>
    <w:rsid w:val="00283DE9"/>
    <w:rsid w:val="00284AB7"/>
    <w:rsid w:val="00286AD6"/>
    <w:rsid w:val="00291E60"/>
    <w:rsid w:val="002A318C"/>
    <w:rsid w:val="002B0C75"/>
    <w:rsid w:val="002C378D"/>
    <w:rsid w:val="002D50DD"/>
    <w:rsid w:val="002D5305"/>
    <w:rsid w:val="002E1A43"/>
    <w:rsid w:val="002F01B7"/>
    <w:rsid w:val="002F181F"/>
    <w:rsid w:val="002F31E3"/>
    <w:rsid w:val="002F4E41"/>
    <w:rsid w:val="00300B55"/>
    <w:rsid w:val="00310042"/>
    <w:rsid w:val="00312FF8"/>
    <w:rsid w:val="00317B84"/>
    <w:rsid w:val="0032155A"/>
    <w:rsid w:val="003236FD"/>
    <w:rsid w:val="00336653"/>
    <w:rsid w:val="00336C3A"/>
    <w:rsid w:val="00337177"/>
    <w:rsid w:val="003423A1"/>
    <w:rsid w:val="00364547"/>
    <w:rsid w:val="0037535C"/>
    <w:rsid w:val="00380C92"/>
    <w:rsid w:val="003832B9"/>
    <w:rsid w:val="00385554"/>
    <w:rsid w:val="003A4BBF"/>
    <w:rsid w:val="003B0451"/>
    <w:rsid w:val="003C4CF2"/>
    <w:rsid w:val="003C5695"/>
    <w:rsid w:val="003D3F79"/>
    <w:rsid w:val="003E3B26"/>
    <w:rsid w:val="003F37C6"/>
    <w:rsid w:val="003F44DB"/>
    <w:rsid w:val="003F4F98"/>
    <w:rsid w:val="003F774A"/>
    <w:rsid w:val="004075A8"/>
    <w:rsid w:val="004151FA"/>
    <w:rsid w:val="00431C56"/>
    <w:rsid w:val="00452C61"/>
    <w:rsid w:val="00465637"/>
    <w:rsid w:val="00470312"/>
    <w:rsid w:val="00485EB1"/>
    <w:rsid w:val="00487927"/>
    <w:rsid w:val="004A6FAB"/>
    <w:rsid w:val="004B543F"/>
    <w:rsid w:val="004B698B"/>
    <w:rsid w:val="004C7733"/>
    <w:rsid w:val="004F21D1"/>
    <w:rsid w:val="004F5094"/>
    <w:rsid w:val="00507049"/>
    <w:rsid w:val="00511784"/>
    <w:rsid w:val="00520C92"/>
    <w:rsid w:val="00523C65"/>
    <w:rsid w:val="005367B6"/>
    <w:rsid w:val="00542FB2"/>
    <w:rsid w:val="00562AAA"/>
    <w:rsid w:val="005747EB"/>
    <w:rsid w:val="00582002"/>
    <w:rsid w:val="0059748A"/>
    <w:rsid w:val="005A0B9D"/>
    <w:rsid w:val="005A2CD5"/>
    <w:rsid w:val="005A3C88"/>
    <w:rsid w:val="005A6DA5"/>
    <w:rsid w:val="005A780E"/>
    <w:rsid w:val="005A7E0B"/>
    <w:rsid w:val="005C58FB"/>
    <w:rsid w:val="005D44AA"/>
    <w:rsid w:val="005D566D"/>
    <w:rsid w:val="005D680F"/>
    <w:rsid w:val="005E22DA"/>
    <w:rsid w:val="005E5D40"/>
    <w:rsid w:val="005F3F15"/>
    <w:rsid w:val="00610E4E"/>
    <w:rsid w:val="0063265E"/>
    <w:rsid w:val="00647D5C"/>
    <w:rsid w:val="00651DBD"/>
    <w:rsid w:val="00655AA2"/>
    <w:rsid w:val="00673BF0"/>
    <w:rsid w:val="0068232B"/>
    <w:rsid w:val="006E450C"/>
    <w:rsid w:val="006F404A"/>
    <w:rsid w:val="00701A8A"/>
    <w:rsid w:val="00715202"/>
    <w:rsid w:val="0074357C"/>
    <w:rsid w:val="00744F70"/>
    <w:rsid w:val="00753E7D"/>
    <w:rsid w:val="007638CE"/>
    <w:rsid w:val="00773304"/>
    <w:rsid w:val="00775BBA"/>
    <w:rsid w:val="00777E66"/>
    <w:rsid w:val="00784173"/>
    <w:rsid w:val="00786DE8"/>
    <w:rsid w:val="007922E8"/>
    <w:rsid w:val="00793D48"/>
    <w:rsid w:val="007965B0"/>
    <w:rsid w:val="007A7CCD"/>
    <w:rsid w:val="007C121D"/>
    <w:rsid w:val="007C3F07"/>
    <w:rsid w:val="007C79C2"/>
    <w:rsid w:val="007E740E"/>
    <w:rsid w:val="007E74AF"/>
    <w:rsid w:val="007F431B"/>
    <w:rsid w:val="007F4D8B"/>
    <w:rsid w:val="008023A4"/>
    <w:rsid w:val="0080388E"/>
    <w:rsid w:val="0081319C"/>
    <w:rsid w:val="0081414D"/>
    <w:rsid w:val="00814AD3"/>
    <w:rsid w:val="00816969"/>
    <w:rsid w:val="00825461"/>
    <w:rsid w:val="0082640E"/>
    <w:rsid w:val="008357D1"/>
    <w:rsid w:val="00844D00"/>
    <w:rsid w:val="00847AA7"/>
    <w:rsid w:val="00866AF7"/>
    <w:rsid w:val="00873B00"/>
    <w:rsid w:val="008836A0"/>
    <w:rsid w:val="00886D1A"/>
    <w:rsid w:val="00886D3A"/>
    <w:rsid w:val="0089171B"/>
    <w:rsid w:val="008A2332"/>
    <w:rsid w:val="008C03A1"/>
    <w:rsid w:val="008D0426"/>
    <w:rsid w:val="00902CF8"/>
    <w:rsid w:val="0090387F"/>
    <w:rsid w:val="00904FF1"/>
    <w:rsid w:val="00913963"/>
    <w:rsid w:val="009157A4"/>
    <w:rsid w:val="00916FDC"/>
    <w:rsid w:val="009171CE"/>
    <w:rsid w:val="0092787C"/>
    <w:rsid w:val="0094684D"/>
    <w:rsid w:val="00952F0F"/>
    <w:rsid w:val="00963A59"/>
    <w:rsid w:val="00964044"/>
    <w:rsid w:val="00964961"/>
    <w:rsid w:val="0096577F"/>
    <w:rsid w:val="009771F1"/>
    <w:rsid w:val="00977509"/>
    <w:rsid w:val="009B1D4D"/>
    <w:rsid w:val="009B56B7"/>
    <w:rsid w:val="009D47CF"/>
    <w:rsid w:val="009D6281"/>
    <w:rsid w:val="00A135BF"/>
    <w:rsid w:val="00A20135"/>
    <w:rsid w:val="00A20F3A"/>
    <w:rsid w:val="00A30837"/>
    <w:rsid w:val="00A46200"/>
    <w:rsid w:val="00A52BDA"/>
    <w:rsid w:val="00A6415D"/>
    <w:rsid w:val="00A672EE"/>
    <w:rsid w:val="00AA54E7"/>
    <w:rsid w:val="00AA7B16"/>
    <w:rsid w:val="00AA7E72"/>
    <w:rsid w:val="00AC6616"/>
    <w:rsid w:val="00AC7186"/>
    <w:rsid w:val="00AF32A1"/>
    <w:rsid w:val="00B06966"/>
    <w:rsid w:val="00B069E7"/>
    <w:rsid w:val="00B0794F"/>
    <w:rsid w:val="00B136B7"/>
    <w:rsid w:val="00B13E9E"/>
    <w:rsid w:val="00B2309F"/>
    <w:rsid w:val="00B27CDC"/>
    <w:rsid w:val="00B31275"/>
    <w:rsid w:val="00B35C7C"/>
    <w:rsid w:val="00B4199D"/>
    <w:rsid w:val="00B65530"/>
    <w:rsid w:val="00B9545B"/>
    <w:rsid w:val="00B97A6C"/>
    <w:rsid w:val="00BA16B7"/>
    <w:rsid w:val="00BA6353"/>
    <w:rsid w:val="00BA79A6"/>
    <w:rsid w:val="00BB77BF"/>
    <w:rsid w:val="00BD3BC8"/>
    <w:rsid w:val="00BD6E79"/>
    <w:rsid w:val="00BD717A"/>
    <w:rsid w:val="00BE267C"/>
    <w:rsid w:val="00BE3C2E"/>
    <w:rsid w:val="00BF0A51"/>
    <w:rsid w:val="00BF6BE0"/>
    <w:rsid w:val="00C0011B"/>
    <w:rsid w:val="00C0121D"/>
    <w:rsid w:val="00C07AC6"/>
    <w:rsid w:val="00C115B9"/>
    <w:rsid w:val="00C25484"/>
    <w:rsid w:val="00C26B05"/>
    <w:rsid w:val="00C339CD"/>
    <w:rsid w:val="00C3688C"/>
    <w:rsid w:val="00C60BCB"/>
    <w:rsid w:val="00C76D6F"/>
    <w:rsid w:val="00C77BEE"/>
    <w:rsid w:val="00C87A66"/>
    <w:rsid w:val="00CA5F30"/>
    <w:rsid w:val="00CC62D5"/>
    <w:rsid w:val="00CD3E38"/>
    <w:rsid w:val="00CD691A"/>
    <w:rsid w:val="00CE5E43"/>
    <w:rsid w:val="00CF1A26"/>
    <w:rsid w:val="00D0134C"/>
    <w:rsid w:val="00D15F9F"/>
    <w:rsid w:val="00D22FB7"/>
    <w:rsid w:val="00D264C4"/>
    <w:rsid w:val="00D27465"/>
    <w:rsid w:val="00D316AB"/>
    <w:rsid w:val="00D438A1"/>
    <w:rsid w:val="00D467E3"/>
    <w:rsid w:val="00D665A6"/>
    <w:rsid w:val="00D66BDC"/>
    <w:rsid w:val="00D66ECB"/>
    <w:rsid w:val="00D72715"/>
    <w:rsid w:val="00D75C2C"/>
    <w:rsid w:val="00D76D68"/>
    <w:rsid w:val="00D829E6"/>
    <w:rsid w:val="00DB0129"/>
    <w:rsid w:val="00DC2230"/>
    <w:rsid w:val="00DC6A63"/>
    <w:rsid w:val="00DD04FA"/>
    <w:rsid w:val="00DE6DAB"/>
    <w:rsid w:val="00DF048F"/>
    <w:rsid w:val="00DF4837"/>
    <w:rsid w:val="00E27D4C"/>
    <w:rsid w:val="00E54181"/>
    <w:rsid w:val="00E66567"/>
    <w:rsid w:val="00E724B9"/>
    <w:rsid w:val="00E736FC"/>
    <w:rsid w:val="00E90E80"/>
    <w:rsid w:val="00EA3617"/>
    <w:rsid w:val="00EC5489"/>
    <w:rsid w:val="00ED2CC9"/>
    <w:rsid w:val="00ED537E"/>
    <w:rsid w:val="00EF2A2C"/>
    <w:rsid w:val="00EF3F4F"/>
    <w:rsid w:val="00F11957"/>
    <w:rsid w:val="00F22D62"/>
    <w:rsid w:val="00F23C7B"/>
    <w:rsid w:val="00F32174"/>
    <w:rsid w:val="00F36963"/>
    <w:rsid w:val="00F44C63"/>
    <w:rsid w:val="00F46BF7"/>
    <w:rsid w:val="00F5370B"/>
    <w:rsid w:val="00F65824"/>
    <w:rsid w:val="00F94668"/>
    <w:rsid w:val="00F960A2"/>
    <w:rsid w:val="00FB012C"/>
    <w:rsid w:val="00FC0B49"/>
    <w:rsid w:val="00FC3798"/>
    <w:rsid w:val="00FC6199"/>
    <w:rsid w:val="00FE70F7"/>
    <w:rsid w:val="00FE7C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7BF6D2"/>
  <w15:docId w15:val="{314907A5-843A-48A2-9DEA-95551F19D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86AD6"/>
    <w:rPr>
      <w:sz w:val="24"/>
      <w:szCs w:val="24"/>
    </w:rPr>
  </w:style>
  <w:style w:type="paragraph" w:styleId="1">
    <w:name w:val="heading 1"/>
    <w:basedOn w:val="a"/>
    <w:next w:val="a"/>
    <w:qFormat/>
    <w:rsid w:val="009B56B7"/>
    <w:pPr>
      <w:keepNext/>
      <w:jc w:val="both"/>
      <w:outlineLvl w:val="0"/>
    </w:pPr>
    <w:rPr>
      <w:sz w:val="28"/>
      <w:szCs w:val="20"/>
    </w:rPr>
  </w:style>
  <w:style w:type="paragraph" w:styleId="5">
    <w:name w:val="heading 5"/>
    <w:basedOn w:val="a"/>
    <w:next w:val="a"/>
    <w:link w:val="50"/>
    <w:qFormat/>
    <w:rsid w:val="00F46BF7"/>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qFormat/>
    <w:rsid w:val="00F46BF7"/>
    <w:pPr>
      <w:keepNext/>
      <w:tabs>
        <w:tab w:val="left" w:pos="4253"/>
      </w:tabs>
      <w:ind w:right="5385"/>
      <w:jc w:val="center"/>
      <w:outlineLvl w:val="5"/>
    </w:pPr>
    <w:rPr>
      <w:rFonts w:ascii="Arial" w:hAnsi="Arial"/>
      <w:b/>
      <w:sz w:val="1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77E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25A20"/>
    <w:rPr>
      <w:rFonts w:ascii="Tahoma" w:hAnsi="Tahoma" w:cs="Tahoma"/>
      <w:sz w:val="16"/>
      <w:szCs w:val="16"/>
    </w:rPr>
  </w:style>
  <w:style w:type="paragraph" w:styleId="a5">
    <w:name w:val="header"/>
    <w:basedOn w:val="a"/>
    <w:rsid w:val="00775BBA"/>
    <w:pPr>
      <w:tabs>
        <w:tab w:val="center" w:pos="4677"/>
        <w:tab w:val="right" w:pos="9355"/>
      </w:tabs>
    </w:pPr>
  </w:style>
  <w:style w:type="character" w:styleId="a6">
    <w:name w:val="page number"/>
    <w:basedOn w:val="a0"/>
    <w:rsid w:val="00775BBA"/>
  </w:style>
  <w:style w:type="paragraph" w:styleId="a7">
    <w:name w:val="footer"/>
    <w:basedOn w:val="a"/>
    <w:rsid w:val="00775BBA"/>
    <w:pPr>
      <w:tabs>
        <w:tab w:val="center" w:pos="4677"/>
        <w:tab w:val="right" w:pos="9355"/>
      </w:tabs>
    </w:pPr>
  </w:style>
  <w:style w:type="paragraph" w:styleId="a8">
    <w:name w:val="Body Text"/>
    <w:basedOn w:val="a"/>
    <w:link w:val="a9"/>
    <w:rsid w:val="00F46BF7"/>
    <w:pPr>
      <w:ind w:right="5953"/>
      <w:jc w:val="center"/>
    </w:pPr>
    <w:rPr>
      <w:rFonts w:ascii="Arial" w:hAnsi="Arial"/>
      <w:b/>
      <w:sz w:val="16"/>
      <w:szCs w:val="20"/>
    </w:rPr>
  </w:style>
  <w:style w:type="character" w:styleId="aa">
    <w:name w:val="Hyperlink"/>
    <w:rsid w:val="00F46BF7"/>
    <w:rPr>
      <w:color w:val="0000FF"/>
      <w:u w:val="single"/>
    </w:rPr>
  </w:style>
  <w:style w:type="character" w:customStyle="1" w:styleId="a9">
    <w:name w:val="Основной текст Знак"/>
    <w:link w:val="a8"/>
    <w:rsid w:val="00213D55"/>
    <w:rPr>
      <w:rFonts w:ascii="Arial" w:hAnsi="Arial"/>
      <w:b/>
      <w:sz w:val="16"/>
      <w:lang w:val="ru-RU" w:eastAsia="ru-RU" w:bidi="ar-SA"/>
    </w:rPr>
  </w:style>
  <w:style w:type="paragraph" w:customStyle="1" w:styleId="ab">
    <w:name w:val="Знак Знак Знак Знак"/>
    <w:basedOn w:val="a"/>
    <w:rsid w:val="0096577F"/>
    <w:rPr>
      <w:rFonts w:ascii="Verdana" w:hAnsi="Verdana" w:cs="Verdana"/>
      <w:sz w:val="20"/>
      <w:szCs w:val="20"/>
      <w:lang w:val="en-US" w:eastAsia="en-US"/>
    </w:rPr>
  </w:style>
  <w:style w:type="paragraph" w:customStyle="1" w:styleId="ac">
    <w:name w:val="Знак"/>
    <w:basedOn w:val="a"/>
    <w:rsid w:val="00B35C7C"/>
    <w:pPr>
      <w:spacing w:before="100" w:beforeAutospacing="1" w:after="100" w:afterAutospacing="1"/>
    </w:pPr>
    <w:rPr>
      <w:rFonts w:ascii="Tahoma" w:hAnsi="Tahoma"/>
      <w:sz w:val="20"/>
      <w:szCs w:val="20"/>
      <w:lang w:val="en-US" w:eastAsia="en-US"/>
    </w:rPr>
  </w:style>
  <w:style w:type="character" w:customStyle="1" w:styleId="50">
    <w:name w:val="Заголовок 5 Знак"/>
    <w:basedOn w:val="a0"/>
    <w:link w:val="5"/>
    <w:rsid w:val="003E3B26"/>
    <w:rPr>
      <w:rFonts w:ascii="Arial Narrow" w:hAnsi="Arial Narrow"/>
      <w:b/>
      <w:sz w:val="36"/>
    </w:rPr>
  </w:style>
  <w:style w:type="table" w:customStyle="1" w:styleId="10">
    <w:name w:val="Сетка таблицы1"/>
    <w:basedOn w:val="a1"/>
    <w:next w:val="a3"/>
    <w:uiPriority w:val="59"/>
    <w:rsid w:val="00963A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uiPriority w:val="59"/>
    <w:rsid w:val="00312F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link w:val="ae"/>
    <w:uiPriority w:val="1"/>
    <w:qFormat/>
    <w:rsid w:val="00D15F9F"/>
    <w:rPr>
      <w:rFonts w:ascii="Calibri" w:hAnsi="Calibri"/>
      <w:sz w:val="22"/>
      <w:szCs w:val="22"/>
    </w:rPr>
  </w:style>
  <w:style w:type="character" w:customStyle="1" w:styleId="ae">
    <w:name w:val="Без интервала Знак"/>
    <w:link w:val="ad"/>
    <w:uiPriority w:val="1"/>
    <w:rsid w:val="00D15F9F"/>
    <w:rPr>
      <w:rFonts w:ascii="Calibri" w:hAnsi="Calibri"/>
      <w:sz w:val="22"/>
      <w:szCs w:val="22"/>
    </w:rPr>
  </w:style>
  <w:style w:type="paragraph" w:customStyle="1" w:styleId="12">
    <w:name w:val="Знак Знак1"/>
    <w:basedOn w:val="a"/>
    <w:rsid w:val="0068232B"/>
    <w:pPr>
      <w:spacing w:before="100" w:beforeAutospacing="1" w:after="100" w:afterAutospacing="1"/>
    </w:pPr>
    <w:rPr>
      <w:rFonts w:ascii="Tahoma" w:hAnsi="Tahoma"/>
      <w:sz w:val="20"/>
      <w:szCs w:val="20"/>
      <w:lang w:val="en-US" w:eastAsia="en-US"/>
    </w:rPr>
  </w:style>
  <w:style w:type="paragraph" w:styleId="af">
    <w:name w:val="Normal (Web)"/>
    <w:basedOn w:val="a"/>
    <w:uiPriority w:val="99"/>
    <w:unhideWhenUsed/>
    <w:rsid w:val="0068232B"/>
  </w:style>
  <w:style w:type="character" w:styleId="af0">
    <w:name w:val="Unresolved Mention"/>
    <w:basedOn w:val="a0"/>
    <w:uiPriority w:val="99"/>
    <w:semiHidden/>
    <w:unhideWhenUsed/>
    <w:rsid w:val="00251D7F"/>
    <w:rPr>
      <w:color w:val="605E5C"/>
      <w:shd w:val="clear" w:color="auto" w:fill="E1DFDD"/>
    </w:rPr>
  </w:style>
  <w:style w:type="paragraph" w:customStyle="1" w:styleId="Default">
    <w:name w:val="Default"/>
    <w:rsid w:val="003423A1"/>
    <w:pPr>
      <w:autoSpaceDE w:val="0"/>
      <w:autoSpaceDN w:val="0"/>
      <w:adjustRightInd w:val="0"/>
    </w:pPr>
    <w:rPr>
      <w:color w:val="000000"/>
      <w:sz w:val="24"/>
      <w:szCs w:val="24"/>
    </w:rPr>
  </w:style>
  <w:style w:type="paragraph" w:styleId="af1">
    <w:name w:val="List Paragraph"/>
    <w:basedOn w:val="a"/>
    <w:uiPriority w:val="34"/>
    <w:qFormat/>
    <w:rsid w:val="004F5094"/>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5172">
      <w:bodyDiv w:val="1"/>
      <w:marLeft w:val="0"/>
      <w:marRight w:val="0"/>
      <w:marTop w:val="0"/>
      <w:marBottom w:val="0"/>
      <w:divBdr>
        <w:top w:val="none" w:sz="0" w:space="0" w:color="auto"/>
        <w:left w:val="none" w:sz="0" w:space="0" w:color="auto"/>
        <w:bottom w:val="none" w:sz="0" w:space="0" w:color="auto"/>
        <w:right w:val="none" w:sz="0" w:space="0" w:color="auto"/>
      </w:divBdr>
    </w:div>
    <w:div w:id="259991411">
      <w:bodyDiv w:val="1"/>
      <w:marLeft w:val="0"/>
      <w:marRight w:val="0"/>
      <w:marTop w:val="0"/>
      <w:marBottom w:val="0"/>
      <w:divBdr>
        <w:top w:val="none" w:sz="0" w:space="0" w:color="auto"/>
        <w:left w:val="none" w:sz="0" w:space="0" w:color="auto"/>
        <w:bottom w:val="none" w:sz="0" w:space="0" w:color="auto"/>
        <w:right w:val="none" w:sz="0" w:space="0" w:color="auto"/>
      </w:divBdr>
    </w:div>
    <w:div w:id="392578719">
      <w:bodyDiv w:val="1"/>
      <w:marLeft w:val="0"/>
      <w:marRight w:val="0"/>
      <w:marTop w:val="0"/>
      <w:marBottom w:val="0"/>
      <w:divBdr>
        <w:top w:val="none" w:sz="0" w:space="0" w:color="auto"/>
        <w:left w:val="none" w:sz="0" w:space="0" w:color="auto"/>
        <w:bottom w:val="none" w:sz="0" w:space="0" w:color="auto"/>
        <w:right w:val="none" w:sz="0" w:space="0" w:color="auto"/>
      </w:divBdr>
    </w:div>
    <w:div w:id="667907681">
      <w:bodyDiv w:val="1"/>
      <w:marLeft w:val="0"/>
      <w:marRight w:val="0"/>
      <w:marTop w:val="0"/>
      <w:marBottom w:val="0"/>
      <w:divBdr>
        <w:top w:val="none" w:sz="0" w:space="0" w:color="auto"/>
        <w:left w:val="none" w:sz="0" w:space="0" w:color="auto"/>
        <w:bottom w:val="none" w:sz="0" w:space="0" w:color="auto"/>
        <w:right w:val="none" w:sz="0" w:space="0" w:color="auto"/>
      </w:divBdr>
    </w:div>
    <w:div w:id="1043601322">
      <w:bodyDiv w:val="1"/>
      <w:marLeft w:val="0"/>
      <w:marRight w:val="0"/>
      <w:marTop w:val="0"/>
      <w:marBottom w:val="0"/>
      <w:divBdr>
        <w:top w:val="none" w:sz="0" w:space="0" w:color="auto"/>
        <w:left w:val="none" w:sz="0" w:space="0" w:color="auto"/>
        <w:bottom w:val="none" w:sz="0" w:space="0" w:color="auto"/>
        <w:right w:val="none" w:sz="0" w:space="0" w:color="auto"/>
      </w:divBdr>
    </w:div>
    <w:div w:id="1446970497">
      <w:bodyDiv w:val="1"/>
      <w:marLeft w:val="0"/>
      <w:marRight w:val="0"/>
      <w:marTop w:val="0"/>
      <w:marBottom w:val="0"/>
      <w:divBdr>
        <w:top w:val="none" w:sz="0" w:space="0" w:color="auto"/>
        <w:left w:val="none" w:sz="0" w:space="0" w:color="auto"/>
        <w:bottom w:val="none" w:sz="0" w:space="0" w:color="auto"/>
        <w:right w:val="none" w:sz="0" w:space="0" w:color="auto"/>
      </w:divBdr>
    </w:div>
    <w:div w:id="1877623252">
      <w:bodyDiv w:val="1"/>
      <w:marLeft w:val="0"/>
      <w:marRight w:val="0"/>
      <w:marTop w:val="0"/>
      <w:marBottom w:val="0"/>
      <w:divBdr>
        <w:top w:val="none" w:sz="0" w:space="0" w:color="auto"/>
        <w:left w:val="none" w:sz="0" w:space="0" w:color="auto"/>
        <w:bottom w:val="none" w:sz="0" w:space="0" w:color="auto"/>
        <w:right w:val="none" w:sz="0" w:space="0" w:color="auto"/>
      </w:divBdr>
    </w:div>
    <w:div w:id="2007202314">
      <w:bodyDiv w:val="1"/>
      <w:marLeft w:val="0"/>
      <w:marRight w:val="0"/>
      <w:marTop w:val="0"/>
      <w:marBottom w:val="0"/>
      <w:divBdr>
        <w:top w:val="none" w:sz="0" w:space="0" w:color="auto"/>
        <w:left w:val="none" w:sz="0" w:space="0" w:color="auto"/>
        <w:bottom w:val="none" w:sz="0" w:space="0" w:color="auto"/>
        <w:right w:val="none" w:sz="0" w:space="0" w:color="auto"/>
      </w:divBdr>
    </w:div>
    <w:div w:id="212090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klimchukla@admoil.ru" TargetMode="External"/><Relationship Id="rId4" Type="http://schemas.openxmlformats.org/officeDocument/2006/relationships/settings" Target="settings.xml"/><Relationship Id="rId9" Type="http://schemas.openxmlformats.org/officeDocument/2006/relationships/hyperlink" Target="http://admoil.gosuslug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89225-95D1-4C5A-8AA7-2362703A1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1902</Words>
  <Characters>10845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Расп</vt:lpstr>
    </vt:vector>
  </TitlesOfParts>
  <Company>KORIPHEY</Company>
  <LinksUpToDate>false</LinksUpToDate>
  <CharactersWithSpaces>12722</CharactersWithSpaces>
  <SharedDoc>false</SharedDoc>
  <HLinks>
    <vt:vector size="6" baseType="variant">
      <vt:variant>
        <vt:i4>1376325</vt:i4>
      </vt:variant>
      <vt:variant>
        <vt:i4>0</vt:i4>
      </vt:variant>
      <vt:variant>
        <vt:i4>0</vt:i4>
      </vt:variant>
      <vt:variant>
        <vt:i4>5</vt:i4>
      </vt:variant>
      <vt:variant>
        <vt:lpwstr>http://www.admoil.ru/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dc:title>
  <dc:creator>Lbuylova</dc:creator>
  <cp:lastModifiedBy>Климчук Людмила Александровна</cp:lastModifiedBy>
  <cp:revision>6</cp:revision>
  <cp:lastPrinted>2024-02-19T04:33:00Z</cp:lastPrinted>
  <dcterms:created xsi:type="dcterms:W3CDTF">2024-08-02T06:37:00Z</dcterms:created>
  <dcterms:modified xsi:type="dcterms:W3CDTF">2024-08-19T05:11:00Z</dcterms:modified>
</cp:coreProperties>
</file>